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普惠金融 Agent 法律政策资料汇编</w:t>
      </w:r>
    </w:p>
    <w:p>
      <w:pPr>
        <w:jc w:val="center"/>
      </w:pPr>
      <w:r>
        <w:rPr>
          <w:color w:val="5B7180"/>
          <w:sz w:val="26"/>
        </w:rPr>
        <w:t>监管规则、政策、利率基准、担保司法解释与银行产品说明（整理摘要版）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使用说明与合规边界</w:t>
      </w:r>
    </w:p>
    <w:p>
      <w:pPr>
        <w:pStyle w:val="PolicyNote"/>
      </w:pPr>
      <w:r>
        <w:rPr>
          <w:b/>
        </w:rPr>
        <w:t>重要：</w:t>
      </w:r>
      <w:r>
        <w:t>本文件是公开资料的课程项目整理摘要，不是官方全文、法律意见、银行授信承诺或产品报价。法律政策可能修订，银行产品条件可能变化；真实使用前应打开来源链接复核现行有效版本。</w:t>
      </w:r>
    </w:p>
    <w:p>
      <w:pPr>
        <w:pStyle w:val="ListBullet"/>
      </w:pPr>
      <w:r>
        <w:t>真实银行小微贷款数据可能涉及客户隐私、征信信息和商业秘密，本项目不采集或保存真实敏感信息。</w:t>
      </w:r>
    </w:p>
    <w:p>
      <w:pPr>
        <w:pStyle w:val="ListBullet"/>
      </w:pPr>
      <w:r>
        <w:t>规则知识库只用于政策解释、材料清单、合规提醒、利率参照和案例检索，不作为模型训练样本。</w:t>
      </w:r>
    </w:p>
    <w:p>
      <w:pPr>
        <w:pStyle w:val="ListBullet"/>
      </w:pPr>
      <w:r>
        <w:t>贷款风险模型只用于教学展示，不得直接用于真实授信审批、拒贷或差别定价。</w:t>
      </w:r>
    </w:p>
    <w:p>
      <w:pPr>
        <w:pStyle w:val="ListBullet"/>
      </w:pPr>
      <w:r>
        <w:t>涉及担保效力、诉讼责任或具体合同争议时，应由有资质的法律专业人士结合完整事实判断。</w:t>
      </w:r>
    </w:p>
    <w:p>
      <w:pPr>
        <w:pStyle w:val="Heading1"/>
      </w:pPr>
      <w:r>
        <w:t>资料目录</w:t>
      </w:r>
    </w:p>
    <w:p>
      <w:r>
        <w:t>1. 银行业金融机构小微企业金融服务监管评价办法｜国家金融监督管理总局｜监管文件</w:t>
      </w:r>
    </w:p>
    <w:p>
      <w:r>
        <w:t>2. 国务院关于推进普惠金融高质量发展的实施意见｜国务院/中国政府网｜政策文件</w:t>
      </w:r>
    </w:p>
    <w:p>
      <w:r>
        <w:t>3. 流动资金贷款管理办法｜国家金融监督管理总局｜监管规章</w:t>
      </w:r>
    </w:p>
    <w:p>
      <w:r>
        <w:t>4. 关于做好续贷工作 提高小微企业金融服务水平的通知｜国家金融监督管理总局｜监管文件</w:t>
      </w:r>
    </w:p>
    <w:p>
      <w:r>
        <w:t>5. 关于普惠信贷尽职免责工作的通知｜国家金融监督管理总局｜监管文件</w:t>
      </w:r>
    </w:p>
    <w:p>
      <w:r>
        <w:t>6. 商业银行互联网贷款管理暂行办法｜国家金融监督管理总局/原银保监会｜监管规章</w:t>
      </w:r>
    </w:p>
    <w:p>
      <w:r>
        <w:t>7. 贷款市场报价利率（LPR）页面与历史数据｜中国货币网｜利率数据</w:t>
      </w:r>
    </w:p>
    <w:p>
      <w:r>
        <w:t>8. 关于适用《中华人民共和国民法典》有关担保制度的解释｜最高人民法院｜司法解释</w:t>
      </w:r>
    </w:p>
    <w:p>
      <w:r>
        <w:t>9. 普惠金融在线融资—中银企E贷｜中国银行｜银行产品说明</w:t>
      </w:r>
    </w:p>
    <w:p>
      <w:r>
        <w:t>注：正文顺序与《普惠金融政策规则知识库_已整理.csv》中的 source_id 分组一致。</w:t>
      </w:r>
    </w:p>
    <w:p>
      <w:pPr>
        <w:pStyle w:val="Heading1"/>
      </w:pPr>
      <w:r>
        <w:t>1. 银行业金融机构小微企业金融服务监管评价办法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2024-11-25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https://www.nfra.gov.cn/cn/view/pages/governmentDetail.html?docId=1187908&amp;itemId=861&amp;generaltype=1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评价对象与目的：</w:t>
      </w:r>
      <w:r>
        <w:t>建立监管评价机制，从服务效果、机制体制、监管政策落实等维度评价小微金融服务。</w:t>
      </w:r>
    </w:p>
    <w:p>
      <w:pPr>
        <w:pStyle w:val="ListBullet"/>
      </w:pPr>
      <w:r>
        <w:rPr>
          <w:b/>
        </w:rPr>
        <w:t>评价结果运用：</w:t>
      </w:r>
      <w:r>
        <w:t>评价结果可用于监管分类、政策引导和改进小微企业金融服务。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银行业金融机构、小微企业金融服务</w:t>
      </w:r>
      <w:r>
        <w:rPr>
          <w:b/>
        </w:rPr>
        <w:t xml:space="preserve">  |  用途：</w:t>
      </w:r>
      <w:r>
        <w:t>政策背景解释；评价维度检索</w:t>
      </w:r>
    </w:p>
    <w:p>
      <w:r>
        <w:rPr>
          <w:b/>
        </w:rPr>
        <w:t>适用对象：</w:t>
      </w:r>
      <w:r>
        <w:t>银行业金融机构</w:t>
      </w:r>
      <w:r>
        <w:rPr>
          <w:b/>
        </w:rPr>
        <w:t xml:space="preserve">  |  用途：</w:t>
      </w:r>
      <w:r>
        <w:t>合规提示；政策解释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评价办法不等同于单户企业获贷承诺。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2. 国务院关于推进普惠金融高质量发展的实施意见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国务院/中国政府网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政策文件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国发〔2023〕15号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2023-10-11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2">
        <w:r>
          <w:rPr>
            <w:color w:val="0563C1"/>
            <w:u w:val="single"/>
          </w:rPr>
          <w:t>https://www.gov.cn/zhengce/content/202310/content_6908495.htm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普惠金融发展目标：</w:t>
      </w:r>
      <w:r>
        <w:t>提高融资可得性与服务质量，完善风险分担、信用信息和消费者保护机制。</w:t>
      </w:r>
    </w:p>
    <w:p>
      <w:pPr>
        <w:pStyle w:val="ListBullet"/>
      </w:pPr>
      <w:r>
        <w:rPr>
          <w:b/>
        </w:rPr>
        <w:t>信用信息与风险分担：</w:t>
      </w:r>
      <w:r>
        <w:t>推动信用信息共享，健全政府性融资担保和风险补偿机制。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小微企业、个体工商户、涉农主体等</w:t>
      </w:r>
      <w:r>
        <w:rPr>
          <w:b/>
        </w:rPr>
        <w:t xml:space="preserve">  |  用途：</w:t>
      </w:r>
      <w:r>
        <w:t>普惠定位；建议依据</w:t>
      </w:r>
    </w:p>
    <w:p>
      <w:r>
        <w:rPr>
          <w:b/>
        </w:rPr>
        <w:t>适用对象：</w:t>
      </w:r>
      <w:r>
        <w:t>普惠金融服务主体</w:t>
      </w:r>
      <w:r>
        <w:rPr>
          <w:b/>
        </w:rPr>
        <w:t xml:space="preserve">  |  用途：</w:t>
      </w:r>
      <w:r>
        <w:t>信用增级建议；数据合规提醒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宏观政策不构成具体银行审批条件。</w:t>
      </w:r>
    </w:p>
    <w:p>
      <w:pPr>
        <w:pStyle w:val="ListBullet"/>
      </w:pPr>
      <w:r>
        <w:t>数据使用仍须遵守授权、最小必要和安全要求。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3. 流动资金贷款管理办法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监管规章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3">
        <w:r>
          <w:rPr>
            <w:color w:val="0563C1"/>
            <w:u w:val="single"/>
          </w:rPr>
          <w:t>https://www.nfra.gov.cn/cn/view/pages/governmentDetail.html?docId=1151066&amp;itemId=4214&amp;generaltype=1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借款人条件与尽调：</w:t>
      </w:r>
      <w:r>
        <w:t>银行应开展尽职调查，关注经营、财务、信用、用途和还款来源。</w:t>
      </w:r>
    </w:p>
    <w:p>
      <w:pPr>
        <w:pStyle w:val="ListBullet"/>
      </w:pPr>
      <w:r>
        <w:rPr>
          <w:b/>
        </w:rPr>
        <w:t>贷款用途：</w:t>
      </w:r>
      <w:r>
        <w:t>贷款用于借款人日常生产经营周转，不得挪用于禁止性领域或用途。</w:t>
      </w:r>
    </w:p>
    <w:p>
      <w:pPr>
        <w:pStyle w:val="ListBullet"/>
      </w:pPr>
      <w:r>
        <w:rPr>
          <w:b/>
        </w:rPr>
        <w:t>额度期限与还款：</w:t>
      </w:r>
      <w:r>
        <w:t>额度和期限应与经营周期、资金需求、现金流和还款能力相匹配。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申请流动资金贷款的企事业法人或其他组织</w:t>
      </w:r>
      <w:r>
        <w:rPr>
          <w:b/>
        </w:rPr>
        <w:t xml:space="preserve">  |  用途：</w:t>
      </w:r>
      <w:r>
        <w:t>材料清单；风险问诊</w:t>
      </w:r>
    </w:p>
    <w:p>
      <w:r>
        <w:rPr>
          <w:b/>
        </w:rPr>
        <w:t>适用对象：</w:t>
      </w:r>
      <w:r>
        <w:t>流动资金贷款借款人</w:t>
      </w:r>
      <w:r>
        <w:rPr>
          <w:b/>
        </w:rPr>
        <w:t xml:space="preserve">  |  用途：</w:t>
      </w:r>
      <w:r>
        <w:t>用途校验；合规警示</w:t>
      </w:r>
    </w:p>
    <w:p>
      <w:r>
        <w:rPr>
          <w:b/>
        </w:rPr>
        <w:t>适用对象：</w:t>
      </w:r>
      <w:r>
        <w:t>流动资金贷款借款人</w:t>
      </w:r>
      <w:r>
        <w:rPr>
          <w:b/>
        </w:rPr>
        <w:t xml:space="preserve">  |  用途：</w:t>
      </w:r>
      <w:r>
        <w:t>额度期限建议；现金流诊断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不得仅凭单一指标替代完整授信判断。</w:t>
      </w:r>
    </w:p>
    <w:p>
      <w:pPr>
        <w:pStyle w:val="ListBullet"/>
      </w:pPr>
      <w:r>
        <w:t>用途不真实、资金回流或挪用是重要风险信号。</w:t>
      </w:r>
    </w:p>
    <w:p>
      <w:pPr>
        <w:pStyle w:val="ListBullet"/>
      </w:pPr>
      <w:r>
        <w:t>Agent 只能提供合理性提示，不能替代银行测算。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4. 关于做好续贷工作 提高小微企业金融服务水平的通知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金规〔2024〕13号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4">
        <w:r>
          <w:rPr>
            <w:color w:val="0563C1"/>
            <w:u w:val="single"/>
          </w:rPr>
          <w:t>https://www.nfra.gov.cn/cn/view/pages/governmentDetail.html?docId=1180101&amp;itemId=4215&amp;generaltype=1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续贷适用对象：</w:t>
      </w:r>
      <w:r>
        <w:t>对依法合规经营、信用良好且有持续融资需求的主体，可按规定提供续贷支持。</w:t>
      </w:r>
    </w:p>
    <w:p>
      <w:pPr>
        <w:pStyle w:val="ListBullet"/>
      </w:pPr>
      <w:r>
        <w:rPr>
          <w:b/>
        </w:rPr>
        <w:t>续贷风险管理：</w:t>
      </w:r>
      <w:r>
        <w:t>银行应做好调查评审、合同衔接、风险分类和贷后管理。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符合条件的小微企业及相关经营主体</w:t>
      </w:r>
      <w:r>
        <w:rPr>
          <w:b/>
        </w:rPr>
        <w:t xml:space="preserve">  |  用途：</w:t>
      </w:r>
      <w:r>
        <w:t>续贷资格预诊断</w:t>
      </w:r>
    </w:p>
    <w:p>
      <w:r>
        <w:rPr>
          <w:b/>
        </w:rPr>
        <w:t>适用对象：</w:t>
      </w:r>
      <w:r>
        <w:t>办理续贷的银行与借款人</w:t>
      </w:r>
      <w:r>
        <w:rPr>
          <w:b/>
        </w:rPr>
        <w:t xml:space="preserve">  |  用途：</w:t>
      </w:r>
      <w:r>
        <w:t>续贷材料清单；风险提醒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续贷不是自动展期，也不免除重新调查评审。</w:t>
      </w:r>
    </w:p>
    <w:p>
      <w:pPr>
        <w:pStyle w:val="ListBullet"/>
      </w:pPr>
      <w:r>
        <w:t>隐瞒恶化现金流或借新还旧风险会影响判断。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5. 关于普惠信贷尽职免责工作的通知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5">
        <w:r>
          <w:rPr>
            <w:color w:val="0563C1"/>
            <w:u w:val="single"/>
          </w:rPr>
          <w:t>https://www.nfra.gov.cn/cn/view/pages/governmentDetail.html?docId=1173314&amp;itemId=4215&amp;generaltype=1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尽职免责边界：</w:t>
      </w:r>
      <w:r>
        <w:t>建立尽职免责机制，对符合规定并勤勉尽责的人员按程序开展认定。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银行普惠信贷从业人员与机构</w:t>
      </w:r>
      <w:r>
        <w:rPr>
          <w:b/>
        </w:rPr>
        <w:t xml:space="preserve">  |  用途：</w:t>
      </w:r>
      <w:r>
        <w:t>术语解释；防止误导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尽职免责属于银行内部治理，不是借款人债务免责。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6. 商业银行互联网贷款管理暂行办法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国家金融监督管理总局/原银保监会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监管规章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2020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6">
        <w:r>
          <w:rPr>
            <w:color w:val="0563C1"/>
            <w:u w:val="single"/>
          </w:rPr>
          <w:t>https://www.nfra.gov.cn/cn/view/pages/governmentDetail.html?docId=916833&amp;itemId=861&amp;generaltype=1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线上风控与人工复核：</w:t>
      </w:r>
      <w:r>
        <w:t>银行应建立覆盖模型、数据、授信、支付和贷后管理的风险控制体系，并按规定设置人工复核。</w:t>
      </w:r>
    </w:p>
    <w:p>
      <w:pPr>
        <w:pStyle w:val="ListBullet"/>
      </w:pPr>
      <w:r>
        <w:rPr>
          <w:b/>
        </w:rPr>
        <w:t>数据与合作机构：</w:t>
      </w:r>
      <w:r>
        <w:t>银行承担风险管理主体责任，并管理合作机构、数据使用和消费者权益保护。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开展互联网贷款业务的商业银行</w:t>
      </w:r>
      <w:r>
        <w:rPr>
          <w:b/>
        </w:rPr>
        <w:t xml:space="preserve">  |  用途：</w:t>
      </w:r>
      <w:r>
        <w:t>线上审批解释；模型合规</w:t>
      </w:r>
    </w:p>
    <w:p>
      <w:r>
        <w:rPr>
          <w:b/>
        </w:rPr>
        <w:t>适用对象：</w:t>
      </w:r>
      <w:r>
        <w:t>商业银行及互联网贷款合作机构</w:t>
      </w:r>
      <w:r>
        <w:rPr>
          <w:b/>
        </w:rPr>
        <w:t xml:space="preserve">  |  用途：</w:t>
      </w:r>
      <w:r>
        <w:t>数据合规；合作方风险提示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自动化模型不得突破审慎经营与消费者保护要求。</w:t>
      </w:r>
    </w:p>
    <w:p>
      <w:pPr>
        <w:pStyle w:val="ListBullet"/>
      </w:pPr>
      <w:r>
        <w:t>不得将核心风控责任简单外包；采集数据应合法授权。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7. 贷款市场报价利率（LPR）页面与历史数据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中国货币网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利率数据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持续更新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7">
        <w:r>
          <w:rPr>
            <w:color w:val="0563C1"/>
            <w:u w:val="single"/>
          </w:rPr>
          <w:t>https://www.chinamoney.com.cn/chinese/bklpr/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形成机制：</w:t>
      </w:r>
      <w:r>
        <w:t>LPR 由报价行报价，全国银行间同业拆借中心计算并发布，为贷款定价提供参考。</w:t>
      </w:r>
    </w:p>
    <w:p>
      <w:pPr>
        <w:pStyle w:val="ListBullet"/>
      </w:pPr>
      <w:r>
        <w:rPr>
          <w:b/>
        </w:rPr>
        <w:t>期限与时点：</w:t>
      </w:r>
      <w:r>
        <w:t>比较利率时应匹配相应期限并记录报价日期，历史值与当前值不可混用。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银行贷款定价参考</w:t>
      </w:r>
      <w:r>
        <w:rPr>
          <w:b/>
        </w:rPr>
        <w:t xml:space="preserve">  |  用途：</w:t>
      </w:r>
      <w:r>
        <w:t>利率合理性参照</w:t>
      </w:r>
    </w:p>
    <w:p>
      <w:r>
        <w:rPr>
          <w:b/>
        </w:rPr>
        <w:t>适用对象：</w:t>
      </w:r>
      <w:r>
        <w:t>比较贷款报价的企业用户</w:t>
      </w:r>
      <w:r>
        <w:rPr>
          <w:b/>
        </w:rPr>
        <w:t xml:space="preserve">  |  用途：</w:t>
      </w:r>
      <w:r>
        <w:t>报价日期提示；利率解释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LPR 不是对任何企业的最终执行利率。</w:t>
      </w:r>
    </w:p>
    <w:p>
      <w:pPr>
        <w:pStyle w:val="ListBullet"/>
      </w:pPr>
      <w:r>
        <w:t>产品利率还受信用、担保、期限和费用影响。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8. 关于适用《中华人民共和国民法典》有关担保制度的解释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最高人民法院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司法解释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2020-12-31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8">
        <w:r>
          <w:rPr>
            <w:color w:val="0563C1"/>
            <w:u w:val="single"/>
          </w:rPr>
          <w:t>https://www.court.gov.cn/zixun/xiangqing/282721.html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公司对外担保：</w:t>
      </w:r>
      <w:r>
        <w:t>公司对外担保效力需结合内部决议、相对人审查等规则判断。</w:t>
      </w:r>
    </w:p>
    <w:p>
      <w:pPr>
        <w:pStyle w:val="ListBullet"/>
      </w:pPr>
      <w:r>
        <w:rPr>
          <w:b/>
        </w:rPr>
        <w:t>保证责任与增信：</w:t>
      </w:r>
      <w:r>
        <w:t>保证方式、责任范围、担保物权设立与登记等影响责任承担。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公司、债权人、保证人</w:t>
      </w:r>
      <w:r>
        <w:rPr>
          <w:b/>
        </w:rPr>
        <w:t xml:space="preserve">  |  用途：</w:t>
      </w:r>
      <w:r>
        <w:t>担保有效性提示</w:t>
      </w:r>
    </w:p>
    <w:p>
      <w:r>
        <w:rPr>
          <w:b/>
        </w:rPr>
        <w:t>适用对象：</w:t>
      </w:r>
      <w:r>
        <w:t>保证、抵押、质押相关主体</w:t>
      </w:r>
      <w:r>
        <w:rPr>
          <w:b/>
        </w:rPr>
        <w:t xml:space="preserve">  |  用途：</w:t>
      </w:r>
      <w:r>
        <w:t>担保材料核验；案例匹配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担保效力高度依赖具体事实，需专业法律意见。</w:t>
      </w:r>
    </w:p>
    <w:p>
      <w:pPr>
        <w:pStyle w:val="ListBullet"/>
      </w:pPr>
      <w:r>
        <w:t>Agent 不作个案法律结论。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9. 普惠金融在线融资—中银企E贷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中国银行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银行产品说明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页面动态更新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9">
        <w:r>
          <w:rPr>
            <w:color w:val="0563C1"/>
            <w:u w:val="single"/>
          </w:rPr>
          <w:t>https://www.bankofchina.com/ebanking/online/202101/t20210105_18941711.html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产品定位：</w:t>
      </w:r>
      <w:r>
        <w:t>线上化普惠融资产品可按不同子产品结合纳税、结算、抵押等信息进行申请。</w:t>
      </w:r>
    </w:p>
    <w:p>
      <w:pPr>
        <w:pStyle w:val="ListBullet"/>
      </w:pPr>
      <w:r>
        <w:rPr>
          <w:b/>
        </w:rPr>
        <w:t>申请资料：</w:t>
      </w:r>
      <w:r>
        <w:t>通常需要主体身份、经营资质、授权查询及与具体子产品相关的经营或增信材料。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符合银行条件的小微企业及经营主体</w:t>
      </w:r>
      <w:r>
        <w:rPr>
          <w:b/>
        </w:rPr>
        <w:t xml:space="preserve">  |  用途：</w:t>
      </w:r>
      <w:r>
        <w:t>产品初筛；申请路径</w:t>
      </w:r>
    </w:p>
    <w:p>
      <w:r>
        <w:rPr>
          <w:b/>
        </w:rPr>
        <w:t>适用对象：</w:t>
      </w:r>
      <w:r>
        <w:t>小微企业申请人</w:t>
      </w:r>
      <w:r>
        <w:rPr>
          <w:b/>
        </w:rPr>
        <w:t xml:space="preserve">  |  用途：</w:t>
      </w:r>
      <w:r>
        <w:t>材料清单生成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产品条件、额度、期限和利率会变化，以银行最新页面和审批为准。</w:t>
      </w:r>
    </w:p>
    <w:p>
      <w:pPr>
        <w:pStyle w:val="ListBullet"/>
      </w:pPr>
      <w:r>
        <w:t>公开说明不能替代网点或线上申请页面的最新清单。</w:t>
      </w:r>
    </w:p>
    <w:p>
      <w:pPr>
        <w:pStyle w:val="Heading2"/>
      </w:pPr>
      <w:r>
        <w:t>建议抽取到知识库的字段</w:t>
      </w:r>
    </w:p>
    <w:p>
      <w:r>
        <w:t>rule_id、source_id、source_url、rule_type、rule_theme、applicable_object、key_condition、required_materials、interest_rate_rule、risk_warning、legal_basis、agent_usage、publish_date、last_verified_at</w:t>
      </w:r>
    </w:p>
    <w:p>
      <w:pPr>
        <w:pStyle w:val="Heading1"/>
      </w:pPr>
      <w:r>
        <w:t>附录 A：RAG 入库建议</w:t>
      </w:r>
    </w:p>
    <w:p>
      <w:pPr>
        <w:pStyle w:val="ListBullet"/>
      </w:pPr>
      <w:r>
        <w:t>以每个 RULE-xxx 条目作为最小检索单元，保留 document_title、rule_theme、source_url 和 last_verified_at。</w:t>
      </w:r>
    </w:p>
    <w:p>
      <w:pPr>
        <w:pStyle w:val="ListBullet"/>
      </w:pPr>
      <w:r>
        <w:t>检索结果输出时同时返回来源机构、发布日期、适用对象和风险提示，避免只给结论不给依据。</w:t>
      </w:r>
    </w:p>
    <w:p>
      <w:pPr>
        <w:pStyle w:val="ListBullet"/>
      </w:pPr>
      <w:r>
        <w:t>LPR 与银行产品说明设置较短复核周期；法律政策设置版本号和现行有效标记。</w:t>
      </w:r>
    </w:p>
    <w:p>
      <w:pPr>
        <w:pStyle w:val="ListBullet"/>
      </w:pPr>
      <w:r>
        <w:t>用户问题涉及具体案件或合同责任时，Agent 应转为风险提示和专业咨询建议，不作确定性裁判预测。</w:t>
      </w:r>
    </w:p>
    <w:p>
      <w:pPr>
        <w:pStyle w:val="Heading1"/>
      </w:pPr>
      <w:r>
        <w:t>附录 B：结构化文件位置</w:t>
      </w:r>
    </w:p>
    <w:p>
      <w:pPr>
        <w:pStyle w:val="ListBullet"/>
      </w:pPr>
      <w:r>
        <w:t>data/processed/普惠金融政策规则知识库_已整理.csv</w:t>
      </w:r>
    </w:p>
    <w:p>
      <w:pPr>
        <w:pStyle w:val="ListBullet"/>
      </w:pPr>
      <w:r>
        <w:t>data/processed/小微企业融资教学案例库_模拟数据.csv</w:t>
      </w:r>
    </w:p>
    <w:p>
      <w:pPr>
        <w:pStyle w:val="ListBullet"/>
      </w:pPr>
      <w:r>
        <w:t>data/metadata/数据来源登记表.csv</w:t>
      </w:r>
    </w:p>
    <w:p>
      <w:pPr>
        <w:pStyle w:val="ListBullet"/>
      </w:pPr>
      <w:r>
        <w:t>docs/普惠金融数据源调研与数据方案报告.md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1187908&amp;itemId=861&amp;generaltype=1" TargetMode="External"/><Relationship Id="rId12" Type="http://schemas.openxmlformats.org/officeDocument/2006/relationships/hyperlink" Target="https://www.gov.cn/zhengce/content/202310/content_6908495.htm" TargetMode="External"/><Relationship Id="rId13" Type="http://schemas.openxmlformats.org/officeDocument/2006/relationships/hyperlink" Target="https://www.nfra.gov.cn/cn/view/pages/governmentDetail.html?docId=1151066&amp;itemId=4214&amp;generaltype=1" TargetMode="External"/><Relationship Id="rId14" Type="http://schemas.openxmlformats.org/officeDocument/2006/relationships/hyperlink" Target="https://www.nfra.gov.cn/cn/view/pages/governmentDetail.html?docId=1180101&amp;itemId=4215&amp;generaltype=1" TargetMode="External"/><Relationship Id="rId15" Type="http://schemas.openxmlformats.org/officeDocument/2006/relationships/hyperlink" Target="https://www.nfra.gov.cn/cn/view/pages/governmentDetail.html?docId=1173314&amp;itemId=4215&amp;generaltype=1" TargetMode="External"/><Relationship Id="rId16" Type="http://schemas.openxmlformats.org/officeDocument/2006/relationships/hyperlink" Target="https://www.nfra.gov.cn/cn/view/pages/governmentDetail.html?docId=916833&amp;itemId=861&amp;generaltype=1" TargetMode="External"/><Relationship Id="rId17" Type="http://schemas.openxmlformats.org/officeDocument/2006/relationships/hyperlink" Target="https://www.chinamoney.com.cn/chinese/bklpr/" TargetMode="External"/><Relationship Id="rId18" Type="http://schemas.openxmlformats.org/officeDocument/2006/relationships/hyperlink" Target="https://www.court.gov.cn/zixun/xiangqing/282721.html" TargetMode="External"/><Relationship Id="rId19" Type="http://schemas.openxmlformats.org/officeDocument/2006/relationships/hyperlink" Target="https://www.bankofchina.com/ebanking/online/202101/t20210105_1894171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