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aps/>
          <w:color w:val="888888"/>
          <w:sz w:val="20"/>
          <w:szCs w:val="20"/>
        </w:rPr>
        <w:t xml:space="preserve">CAPSTONE PROJECT</w:t>
      </w:r>
    </w:p>
    <w:p>
      <w:pPr>
        <w:spacing w:after="120" w:before="0"/>
        <w:jc w:val="center"/>
      </w:pPr>
      <w:r>
        <w:rPr>
          <w:rFonts w:ascii="Arial" w:cs="Arial" w:eastAsia="Arial" w:hAnsi="Arial"/>
          <w:b/>
          <w:bCs/>
          <w:color w:val="1B3A6B"/>
          <w:sz w:val="36"/>
          <w:szCs w:val="36"/>
        </w:rPr>
        <w:t xml:space="preserve">Machine Learning in Practice</w:t>
      </w:r>
    </w:p>
    <w:p>
      <w:pPr>
        <w:spacing w:after="400" w:before="0"/>
        <w:jc w:val="center"/>
      </w:pPr>
      <w:r>
        <w:rPr>
          <w:rFonts w:ascii="Arial" w:cs="Arial" w:eastAsia="Arial" w:hAnsi="Arial"/>
          <w:color w:val="555555"/>
          <w:sz w:val="24"/>
          <w:szCs w:val="24"/>
        </w:rPr>
        <w:t xml:space="preserve">Asian Institute of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300"/>
              <w:left w:type="dxa" w:w="400"/>
              <w:bottom w:type="dxa" w:w="300"/>
              <w:right w:type="dxa" w:w="400"/>
            </w:tcMar>
          </w:tcPr>
          <w:p>
            <w:pPr>
              <w:spacing w:after="80" w:before="80"/>
              <w:jc w:val="center"/>
            </w:pPr>
            <w:r>
              <w:rPr>
                <w:rFonts w:ascii="Arial" w:cs="Arial" w:eastAsia="Arial" w:hAnsi="Arial"/>
                <w:b/>
                <w:bCs/>
                <w:color w:val="FFFFFF"/>
                <w:sz w:val="40"/>
                <w:szCs w:val="40"/>
              </w:rPr>
              <w:t xml:space="preserve">Credit Card Fraud Detection</w:t>
            </w:r>
          </w:p>
          <w:p>
            <w:pPr>
              <w:spacing w:after="60" w:before="60"/>
              <w:jc w:val="center"/>
            </w:pPr>
            <w:r>
              <w:rPr>
                <w:rFonts w:ascii="Arial" w:cs="Arial" w:eastAsia="Arial" w:hAnsi="Arial"/>
                <w:i/>
                <w:iCs/>
                <w:color w:val="C5D8F5"/>
                <w:sz w:val="24"/>
                <w:szCs w:val="24"/>
              </w:rPr>
              <w:t xml:space="preserve">A Machine Learning Approach to Financial Transaction Security</w:t>
            </w:r>
          </w:p>
        </w:tc>
      </w:tr>
    </w:tbl>
    <w:p>
      <w:pPr>
        <w:spacing w:after="80" w:before="80"/>
      </w:pPr>
      <w:r>
        <w:t xml:space="preserve"/>
      </w:r>
    </w:p>
    <w:p>
      <w:pPr>
        <w:jc w:val="center"/>
      </w:pPr>
      <w:r>
        <w:rPr>
          <w:rFonts w:ascii="Arial" w:cs="Arial" w:eastAsia="Arial" w:hAnsi="Arial"/>
          <w:color w:val="444444"/>
          <w:sz w:val="22"/>
          <w:szCs w:val="22"/>
        </w:rPr>
        <w:t xml:space="preserve">Step 1: Problem Understanding &amp; Framing</w:t>
      </w:r>
    </w:p>
    <w:p>
      <w:pPr>
        <w:spacing w:after="60" w:before="60"/>
        <w:jc w:val="center"/>
      </w:pPr>
      <w:r>
        <w:rPr>
          <w:rFonts w:ascii="Arial" w:cs="Arial" w:eastAsia="Arial" w:hAnsi="Arial"/>
          <w:color w:val="888888"/>
          <w:sz w:val="21"/>
          <w:szCs w:val="21"/>
        </w:rPr>
        <w:t xml:space="preserve">Finance Domain  |  Binary Classification  |  June 2026</w:t>
      </w:r>
    </w:p>
    <w:p>
      <w:pPr>
        <w:spacing w:after="80" w:before="80"/>
      </w:pPr>
      <w:r>
        <w:t xml:space="preserve"/>
      </w:r>
    </w:p>
    <w:p>
      <w:pPr>
        <w:spacing w:after="80" w:before="80"/>
      </w:pPr>
      <w:r>
        <w:t xml:space="preserve"/>
      </w:r>
    </w:p>
    <w:p>
      <w:pPr>
        <w:spacing w:after="80" w:before="80"/>
      </w:pPr>
      <w:r>
        <w:t xml:space="preserve"/>
      </w:r>
    </w:p>
    <w:p>
      <w:pPr>
        <w:pStyle w:val="Heading1"/>
        <w:spacing w:after="160" w:before="360"/>
      </w:pPr>
      <w:r>
        <w:rPr>
          <w:rFonts w:ascii="Arial" w:cs="Arial" w:eastAsia="Arial" w:hAnsi="Arial"/>
          <w:b/>
          <w:bCs/>
          <w:color w:val="1B3A6B"/>
          <w:sz w:val="28"/>
          <w:szCs w:val="28"/>
        </w:rPr>
        <w:t xml:space="preserve">1. Business Context</w:t>
      </w:r>
    </w:p>
    <w:p>
      <w:pPr>
        <w:spacing w:after="120" w:before="80"/>
      </w:pPr>
      <w:r>
        <w:rPr>
          <w:rFonts w:ascii="Arial" w:cs="Arial" w:eastAsia="Arial" w:hAnsi="Arial"/>
          <w:sz w:val="22"/>
          <w:szCs w:val="22"/>
        </w:rPr>
        <w:t xml:space="preserve">Credit card fraud is one of the most persistent and costly challenges that financial institutions must face on a global scale. Its rise is inseparable from the growth of digital commerce itself — as the world shifted from physical stores to online platforms capable of reaching customers anywhere, the volume of internet-based payments grew exponentially. That same ease of transacting that opened new markets for legitimate businesses also opened new opportunities for those who seek to exploit them.</w:t>
      </w:r>
    </w:p>
    <w:p>
      <w:pPr>
        <w:spacing w:after="80" w:before="80"/>
      </w:pPr>
      <w:r>
        <w:t xml:space="preserve"/>
      </w:r>
    </w:p>
    <w:p>
      <w:pPr>
        <w:spacing w:after="120" w:before="80"/>
      </w:pPr>
      <w:r>
        <w:rPr>
          <w:rFonts w:ascii="Arial" w:cs="Arial" w:eastAsia="Arial" w:hAnsi="Arial"/>
          <w:sz w:val="22"/>
          <w:szCs w:val="22"/>
        </w:rPr>
        <w:t xml:space="preserve">Fraudulent activities have evolved alongside this growth, becoming increasingly sophisticated in both method and execution. What was once a relatively straightforward crime has matured into a complex, adaptive operation — one that consistently probes for weaknesses in detection systems and adjusts tactics the moment a pattern is identified.</w:t>
      </w:r>
    </w:p>
    <w:p>
      <w:pPr>
        <w:spacing w:after="80" w:before="80"/>
      </w:pPr>
      <w:r>
        <w:t xml:space="preserve"/>
      </w:r>
    </w:p>
    <w:p>
      <w:pPr>
        <w:spacing w:after="120" w:before="80"/>
      </w:pPr>
      <w:r>
        <w:rPr>
          <w:rFonts w:ascii="Arial" w:cs="Arial" w:eastAsia="Arial" w:hAnsi="Arial"/>
          <w:sz w:val="22"/>
          <w:szCs w:val="22"/>
        </w:rPr>
        <w:t xml:space="preserve">According to the Nilson Report, global credit card fraud losses exceeded USD 33 billion in 2022 and are projected to surpass USD 40 billion by 2027. In the Philippines, the Bangko Sentral ng Pilipinas (BSP) has flagged digital payment fraud as a growing systemic risk. With a population of over 110 million — many of whom are active users of credit cards and digital wallets such as GCash and Maya — the country represents both a high-growth digital payments market and an increasingly targeted one.</w:t>
      </w:r>
    </w:p>
    <w:p>
      <w:pPr>
        <w:spacing w:after="80" w:before="80"/>
      </w:pPr>
      <w:r>
        <w:t xml:space="preserve"/>
      </w:r>
    </w:p>
    <w:p>
      <w:pPr>
        <w:spacing w:after="120" w:before="80"/>
      </w:pPr>
      <w:r>
        <w:rPr>
          <w:rFonts w:ascii="Arial" w:cs="Arial" w:eastAsia="Arial" w:hAnsi="Arial"/>
          <w:sz w:val="22"/>
          <w:szCs w:val="22"/>
        </w:rPr>
        <w:t xml:space="preserve">Traditional rule-based detection systems have proven increasingly insufficient against these evolving tactics. Because they are anchored to known fraud signatures and fixed thresholds, they are effective only against patterns that have already been seen. The moment a new scheme emerges — one that does not match a pre-defined rule — it passes through undetected. And fraudsters, aware of this limitation, design their methods precisely to stay beneath those thresholds.</w:t>
      </w:r>
    </w:p>
    <w:p>
      <w:pPr>
        <w:spacing w:after="80" w:before="80"/>
      </w:pPr>
      <w:r>
        <w:t xml:space="preserve"/>
      </w:r>
    </w:p>
    <w:p>
      <w:pPr>
        <w:spacing w:after="120" w:before="80"/>
      </w:pPr>
      <w:r>
        <w:rPr>
          <w:rFonts w:ascii="Arial" w:cs="Arial" w:eastAsia="Arial" w:hAnsi="Arial"/>
          <w:sz w:val="22"/>
          <w:szCs w:val="22"/>
        </w:rPr>
        <w:t xml:space="preserve">The entry of machine learning and artificial intelligence has transformed this into a more sophisticated game of cat and mouse. Fraud schemes grow more complex to avoid detection, while security systems grow more adaptive using the tools that ML and AI provide. Unlike rule-based systems, machine learning algorithms can identify transaction patterns that deviate from normal behaviour — even patterns that have never been seen before — by learning from the full history of both legitimate and fraudulent transactions. AI-driven models are also more context-aware, which allows them to reduce false positives: legitimate transactions that would have been blocked under rigid rules can be correctly identified and approved. This balance — catching more fraud while disrupting fewer good customers — is precisely what this project sets out to demonstrate.</w:t>
      </w:r>
    </w:p>
    <w:p>
      <w:pPr>
        <w:spacing w:after="80" w:before="80"/>
      </w:pPr>
      <w:r>
        <w:t xml:space="preserve"/>
      </w:r>
    </w:p>
    <w:p>
      <w:pPr>
        <w:spacing w:after="120" w:before="80"/>
      </w:pPr>
      <w:r>
        <w:rPr>
          <w:rFonts w:ascii="Arial" w:cs="Arial" w:eastAsia="Arial" w:hAnsi="Arial"/>
          <w:sz w:val="22"/>
          <w:szCs w:val="22"/>
        </w:rPr>
        <w:t xml:space="preserve">While the dataset used in this study reflects European cardholder transactions, the patterns and methodologies uncovered through rigorous ML analysis are not geographically bound. In the Philippine context, where publicly available credit card fraud data remains scarce, this project serves a dual purpose: to build and validate a fraud detection model on a well-established benchmark dataset, and to establish a transferable framework that can be adapted once local transaction data becomes accessible. The insights drawn here — on model selection, threshold calibration, imbalance handling, and explainability — are directly applicable to the Philippine digital payments landscape that the BSP continues to monitor closely.</w:t>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2. Problem Statement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EF3FB" w:val="clear"/>
            <w:tcMar>
              <w:top w:type="dxa" w:w="120"/>
              <w:left w:type="dxa" w:w="200"/>
              <w:bottom w:type="dxa" w:w="120"/>
              <w:right w:type="dxa" w:w="200"/>
            </w:tcMar>
          </w:tcPr>
          <w:p>
            <w:pPr>
              <w:spacing w:after="60" w:before="40"/>
            </w:pPr>
            <w:r>
              <w:rPr>
                <w:rFonts w:ascii="Arial" w:cs="Arial" w:eastAsia="Arial" w:hAnsi="Arial"/>
                <w:b/>
                <w:bCs/>
                <w:color w:val="1B3A6B"/>
                <w:sz w:val="22"/>
                <w:szCs w:val="22"/>
              </w:rPr>
              <w:t xml:space="preserve">Core Problem</w:t>
            </w:r>
          </w:p>
          <w:p>
            <w:pPr>
              <w:spacing w:after="40" w:before="40"/>
            </w:pPr>
            <w:r>
              <w:rPr>
                <w:rFonts w:ascii="Arial" w:cs="Arial" w:eastAsia="Arial" w:hAnsi="Arial"/>
                <w:i/>
                <w:iCs/>
                <w:sz w:val="21"/>
                <w:szCs w:val="21"/>
              </w:rPr>
              <w:t xml:space="preserve">Given a dataset of European cardholder transactions, build a machine learning model that can accurately distinguish between fraudulent and legitimate transactions in real time, while minimising both false positives (legitimate transactions incorrectly blocked) and false negatives (fraud transactions that go undetected).</w:t>
            </w:r>
          </w:p>
        </w:tc>
      </w:tr>
    </w:tbl>
    <w:p>
      <w:pPr>
        <w:spacing w:after="80" w:before="80"/>
      </w:pPr>
      <w:r>
        <w:t xml:space="preserve"/>
      </w:r>
    </w:p>
    <w:p>
      <w:pPr>
        <w:spacing w:after="120" w:before="80"/>
      </w:pPr>
      <w:r>
        <w:rPr>
          <w:rFonts w:ascii="Arial" w:cs="Arial" w:eastAsia="Arial" w:hAnsi="Arial"/>
          <w:sz w:val="22"/>
          <w:szCs w:val="22"/>
        </w:rPr>
        <w:t xml:space="preserve">The challenge is compounded by extreme class imbalance: in real-world fraud datasets, fraudulent transactions typically represent less than 0.2% of all records. This imbalance means that a naive model that classifies every transaction as legitimate would achieve 99.8% accuracy — yet be completely useless from a business perspective.</w:t>
      </w:r>
    </w:p>
    <w:p>
      <w:pPr>
        <w:spacing w:after="80" w:before="80"/>
      </w:pPr>
      <w:r>
        <w:t xml:space="preserve"/>
      </w:r>
    </w:p>
    <w:p>
      <w:pPr>
        <w:spacing w:after="120" w:before="80"/>
      </w:pPr>
      <w:r>
        <w:rPr>
          <w:rFonts w:ascii="Arial" w:cs="Arial" w:eastAsia="Arial" w:hAnsi="Arial"/>
          <w:sz w:val="22"/>
          <w:szCs w:val="22"/>
        </w:rPr>
        <w:t xml:space="preserve">This project addresses the imbalance problem through appropriate resampling techniques (SMOTE, undersampling), threshold tuning, and the use of evaluation metrics that are robust to class imbalance (AUC-ROC, Precision-Recall AUC, F1-Score).</w:t>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3. Data Science Task Definition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Task Type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Supervised Binary 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(0 = Legitimate, 1 = Fraudulent)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Input Features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 PCA-derived features (V1–V28), Time,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Credit Card Fraud Detection (ULB, 2013)</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Records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284,807 transactions | 492 fraud (0.173%)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Train/Test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training / 20% testing (stratified)</w:t>
            </w:r>
          </w:p>
        </w:tc>
      </w:tr>
    </w:tbl>
    <w:p>
      <w:pPr>
        <w:spacing w:after="80" w:before="80"/>
      </w:pPr>
      <w:r>
        <w:t xml:space="preserve"/>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4. Success Metrics</w:t>
      </w:r>
    </w:p>
    <w:p>
      <w:pPr>
        <w:pStyle w:val="Heading2"/>
        <w:spacing w:after="120" w:before="240"/>
      </w:pPr>
      <w:r>
        <w:rPr>
          <w:rFonts w:ascii="Arial" w:cs="Arial" w:eastAsia="Arial" w:hAnsi="Arial"/>
          <w:b/>
          <w:bCs/>
          <w:color w:val="2E5FAD"/>
          <w:sz w:val="24"/>
          <w:szCs w:val="24"/>
        </w:rPr>
        <w:t xml:space="preserve">4.1 Primary ML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c>
          <w:tcPr>
            <w:tcW w:type="dxa" w:w="52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AUC-ROC</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0.95</w:t>
            </w:r>
          </w:p>
        </w:tc>
        <w:tc>
          <w:tcPr>
            <w:tcW w:type="dxa" w:w="5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metric; robust to class imbalance; measures overall discriminatory power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Precision-Recall AUC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0.80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informative than ROC when positive class is rare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F1-Score (Fraud Class)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0.80</w:t>
            </w:r>
          </w:p>
        </w:tc>
        <w:tc>
          <w:tcPr>
            <w:tcW w:type="dxa" w:w="5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Harmonic mean of precision and recall for the minority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(Fraud Class)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0.85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Prioritise catching fraud; missed fraud is costlier than false alarms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Precision (Fraud Class)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0.75</w:t>
            </w:r>
          </w:p>
        </w:tc>
        <w:tc>
          <w:tcPr>
            <w:tcW w:type="dxa" w:w="5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Minimise customer friction from false declines</w:t>
            </w:r>
          </w:p>
        </w:tc>
      </w:tr>
    </w:tbl>
    <w:p>
      <w:pPr>
        <w:spacing w:after="80" w:before="80"/>
      </w:pPr>
      <w:r>
        <w:t xml:space="preserve"/>
      </w:r>
    </w:p>
    <w:p>
      <w:pPr>
        <w:pStyle w:val="Heading2"/>
        <w:spacing w:after="120" w:before="240"/>
      </w:pPr>
      <w:r>
        <w:rPr>
          <w:rFonts w:ascii="Arial" w:cs="Arial" w:eastAsia="Arial" w:hAnsi="Arial"/>
          <w:b/>
          <w:bCs/>
          <w:color w:val="2E5FAD"/>
          <w:sz w:val="24"/>
          <w:szCs w:val="24"/>
        </w:rPr>
        <w:t xml:space="preserve">4.2 Business KPIs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w:t>
            </w:r>
          </w:p>
        </w:tc>
        <w:tc>
          <w:tcPr>
            <w:tcW w:type="dxa" w:w="62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Fraud Detection Rate (FDR)</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of actual fraud transactions correctly identified by the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 (FPR)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legitimate transactions incorrectly blocked (customer friction proxy)</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Estimated Annual Savings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Model-detected fraud volume × average fraud transaction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Cost-per-False-Positive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of manual review per false alert triggered</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Fraud Loss Reduction (%)</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Reduction in total fraud losses vs. baseline (no model)</w:t>
            </w:r>
          </w:p>
        </w:tc>
      </w:tr>
    </w:tbl>
    <w:p>
      <w:pPr>
        <w:spacing w:after="80" w:before="80"/>
      </w:pPr>
      <w:r>
        <w:t xml:space="preserve"/>
      </w:r>
    </w:p>
    <w:p>
      <w:pPr>
        <w:spacing w:after="120" w:before="80"/>
      </w:pPr>
      <w:r>
        <w:rPr>
          <w:rFonts w:ascii="Arial" w:cs="Arial" w:eastAsia="Arial" w:hAnsi="Arial"/>
          <w:i/>
          <w:iCs/>
          <w:color w:val="555555"/>
          <w:sz w:val="22"/>
          <w:szCs w:val="22"/>
        </w:rPr>
        <w:t xml:space="preserve">Note: The cost asymmetry of fraud detection (a missed fraud is typically 5–10x more costly than a false positive) informs the decision to prioritise recall over precision when selecting the final model threshold.</w:t>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5. Stakeholder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80"/>
        <w:gridCol w:w="318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Stakeholder</w:t>
            </w:r>
          </w:p>
        </w:tc>
        <w:tc>
          <w:tcPr>
            <w:tcW w:type="dxa" w:w="33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Concern</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 That Matters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Risk &amp; Fraud Operations Team</w:t>
            </w:r>
          </w:p>
        </w:tc>
        <w:tc>
          <w:tcPr>
            <w:tcW w:type="dxa" w:w="3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Catch as much fraud as possible</w:t>
            </w:r>
          </w:p>
        </w:tc>
        <w:tc>
          <w:tcPr>
            <w:tcW w:type="dxa" w:w="3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Recall, FDR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Experience Team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Minimise false declines on good customers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FPR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Finance / CFO</w:t>
            </w:r>
          </w:p>
        </w:tc>
        <w:tc>
          <w:tcPr>
            <w:tcW w:type="dxa" w:w="3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Reduce total fraud losses and operational costs</w:t>
            </w:r>
          </w:p>
        </w:tc>
        <w:tc>
          <w:tcPr>
            <w:tcW w:type="dxa" w:w="3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Estimated Savings, ROI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&amp; Regulatory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trails, explainability, bias controls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explanations, fairness audits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ML Engineering Team</w:t>
            </w:r>
          </w:p>
        </w:tc>
        <w:tc>
          <w:tcPr>
            <w:tcW w:type="dxa" w:w="3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Model performance, latency, maintainability</w:t>
            </w:r>
          </w:p>
        </w:tc>
        <w:tc>
          <w:tcPr>
            <w:tcW w:type="dxa" w:w="3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AUC-ROC, F1, inference time</w:t>
            </w:r>
          </w:p>
        </w:tc>
      </w:tr>
    </w:tbl>
    <w:p>
      <w:pPr>
        <w:spacing w:after="80" w:before="80"/>
      </w:pPr>
      <w:r>
        <w:t xml:space="preserve"/>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6. Project Scope &amp; Constraints</w:t>
      </w:r>
    </w:p>
    <w:p>
      <w:pPr>
        <w:pStyle w:val="Heading2"/>
        <w:spacing w:after="120" w:before="240"/>
      </w:pPr>
      <w:r>
        <w:rPr>
          <w:rFonts w:ascii="Arial" w:cs="Arial" w:eastAsia="Arial" w:hAnsi="Arial"/>
          <w:b/>
          <w:bCs/>
          <w:color w:val="2E5FAD"/>
          <w:sz w:val="24"/>
          <w:szCs w:val="24"/>
        </w:rPr>
        <w:t xml:space="preserve">6.1 In Scope</w:t>
      </w:r>
    </w:p>
    <w:p>
      <w:pPr>
        <w:pStyle w:val="ListParagraph"/>
        <w:numPr>
          <w:ilvl w:val="0"/>
          <w:numId w:val="2"/>
        </w:numPr>
        <w:spacing w:after="60" w:before="60"/>
      </w:pPr>
      <w:r>
        <w:rPr>
          <w:rFonts w:ascii="Arial" w:cs="Arial" w:eastAsia="Arial" w:hAnsi="Arial"/>
          <w:sz w:val="22"/>
          <w:szCs w:val="22"/>
        </w:rPr>
        <w:t xml:space="preserve">End-to-end ML pipeline: EDA, preprocessing, modelling, evaluation, explainability</w:t>
      </w:r>
    </w:p>
    <w:p>
      <w:pPr>
        <w:pStyle w:val="ListParagraph"/>
        <w:numPr>
          <w:ilvl w:val="0"/>
          <w:numId w:val="2"/>
        </w:numPr>
        <w:spacing w:after="60" w:before="60"/>
      </w:pPr>
      <w:r>
        <w:rPr>
          <w:rFonts w:ascii="Arial" w:cs="Arial" w:eastAsia="Arial" w:hAnsi="Arial"/>
          <w:sz w:val="22"/>
          <w:szCs w:val="22"/>
        </w:rPr>
        <w:t xml:space="preserve">Baseline and advanced classification models (Logistic Regression, Random Forest, XGBoost)</w:t>
      </w:r>
    </w:p>
    <w:p>
      <w:pPr>
        <w:pStyle w:val="ListParagraph"/>
        <w:numPr>
          <w:ilvl w:val="0"/>
          <w:numId w:val="2"/>
        </w:numPr>
        <w:spacing w:after="60" w:before="60"/>
      </w:pPr>
      <w:r>
        <w:rPr>
          <w:rFonts w:ascii="Arial" w:cs="Arial" w:eastAsia="Arial" w:hAnsi="Arial"/>
          <w:sz w:val="22"/>
          <w:szCs w:val="22"/>
        </w:rPr>
        <w:t xml:space="preserve">Handling class imbalance via SMOTE and threshold optimisation</w:t>
      </w:r>
    </w:p>
    <w:p>
      <w:pPr>
        <w:pStyle w:val="ListParagraph"/>
        <w:numPr>
          <w:ilvl w:val="0"/>
          <w:numId w:val="2"/>
        </w:numPr>
        <w:spacing w:after="60" w:before="60"/>
      </w:pPr>
      <w:r>
        <w:rPr>
          <w:rFonts w:ascii="Arial" w:cs="Arial" w:eastAsia="Arial" w:hAnsi="Arial"/>
          <w:sz w:val="22"/>
          <w:szCs w:val="22"/>
        </w:rPr>
        <w:t xml:space="preserve">Model explainability via SHAP values</w:t>
      </w:r>
    </w:p>
    <w:p>
      <w:pPr>
        <w:pStyle w:val="ListParagraph"/>
        <w:numPr>
          <w:ilvl w:val="0"/>
          <w:numId w:val="2"/>
        </w:numPr>
        <w:spacing w:after="60" w:before="60"/>
      </w:pPr>
      <w:r>
        <w:rPr>
          <w:rFonts w:ascii="Arial" w:cs="Arial" w:eastAsia="Arial" w:hAnsi="Arial"/>
          <w:sz w:val="22"/>
          <w:szCs w:val="22"/>
        </w:rPr>
        <w:t xml:space="preserve">Bias &amp; fairness audit across transaction amount segments</w:t>
      </w:r>
    </w:p>
    <w:p>
      <w:pPr>
        <w:pStyle w:val="ListParagraph"/>
        <w:numPr>
          <w:ilvl w:val="0"/>
          <w:numId w:val="2"/>
        </w:numPr>
        <w:spacing w:after="60" w:before="60"/>
      </w:pPr>
      <w:r>
        <w:rPr>
          <w:rFonts w:ascii="Arial" w:cs="Arial" w:eastAsia="Arial" w:hAnsi="Arial"/>
          <w:sz w:val="22"/>
          <w:szCs w:val="22"/>
        </w:rPr>
        <w:t xml:space="preserve">Two slide decks: technical and business-facing</w:t>
      </w:r>
    </w:p>
    <w:p>
      <w:pPr>
        <w:pStyle w:val="ListParagraph"/>
        <w:numPr>
          <w:ilvl w:val="0"/>
          <w:numId w:val="2"/>
        </w:numPr>
        <w:spacing w:after="60" w:before="60"/>
      </w:pPr>
      <w:r>
        <w:rPr>
          <w:rFonts w:ascii="Arial" w:cs="Arial" w:eastAsia="Arial" w:hAnsi="Arial"/>
          <w:sz w:val="22"/>
          <w:szCs w:val="22"/>
        </w:rPr>
        <w:t xml:space="preserve">GitHub repository with reproducible code</w:t>
      </w:r>
    </w:p>
    <w:p>
      <w:pPr>
        <w:spacing w:after="80" w:before="80"/>
      </w:pPr>
      <w:r>
        <w:t xml:space="preserve"/>
      </w:r>
    </w:p>
    <w:p>
      <w:pPr>
        <w:pStyle w:val="Heading2"/>
        <w:spacing w:after="120" w:before="240"/>
      </w:pPr>
      <w:r>
        <w:rPr>
          <w:rFonts w:ascii="Arial" w:cs="Arial" w:eastAsia="Arial" w:hAnsi="Arial"/>
          <w:b/>
          <w:bCs/>
          <w:color w:val="2E5FAD"/>
          <w:sz w:val="24"/>
          <w:szCs w:val="24"/>
        </w:rPr>
        <w:t xml:space="preserve">6.2 Out of Scope</w:t>
      </w:r>
    </w:p>
    <w:p>
      <w:pPr>
        <w:pStyle w:val="ListParagraph"/>
        <w:numPr>
          <w:ilvl w:val="0"/>
          <w:numId w:val="2"/>
        </w:numPr>
        <w:spacing w:after="60" w:before="60"/>
      </w:pPr>
      <w:r>
        <w:rPr>
          <w:rFonts w:ascii="Arial" w:cs="Arial" w:eastAsia="Arial" w:hAnsi="Arial"/>
          <w:sz w:val="22"/>
          <w:szCs w:val="22"/>
        </w:rPr>
        <w:t xml:space="preserve">Real-time deployment infrastructure (addressed optionally in Step 8)</w:t>
      </w:r>
    </w:p>
    <w:p>
      <w:pPr>
        <w:pStyle w:val="ListParagraph"/>
        <w:numPr>
          <w:ilvl w:val="0"/>
          <w:numId w:val="2"/>
        </w:numPr>
        <w:spacing w:after="60" w:before="60"/>
      </w:pPr>
      <w:r>
        <w:rPr>
          <w:rFonts w:ascii="Arial" w:cs="Arial" w:eastAsia="Arial" w:hAnsi="Arial"/>
          <w:sz w:val="22"/>
          <w:szCs w:val="22"/>
        </w:rPr>
        <w:t xml:space="preserve">Integration with live payment systems or card networks</w:t>
      </w:r>
    </w:p>
    <w:p>
      <w:pPr>
        <w:pStyle w:val="ListParagraph"/>
        <w:numPr>
          <w:ilvl w:val="0"/>
          <w:numId w:val="2"/>
        </w:numPr>
        <w:spacing w:after="60" w:before="60"/>
      </w:pPr>
      <w:r>
        <w:rPr>
          <w:rFonts w:ascii="Arial" w:cs="Arial" w:eastAsia="Arial" w:hAnsi="Arial"/>
          <w:sz w:val="22"/>
          <w:szCs w:val="22"/>
        </w:rPr>
        <w:t xml:space="preserve">Collection of new or proprietary transaction data</w:t>
      </w:r>
    </w:p>
    <w:p>
      <w:pPr>
        <w:spacing w:after="80" w:before="80"/>
      </w:pPr>
      <w:r>
        <w:t xml:space="preserve"/>
      </w:r>
    </w:p>
    <w:p>
      <w:pPr>
        <w:pStyle w:val="Heading2"/>
        <w:spacing w:after="120" w:before="240"/>
      </w:pPr>
      <w:r>
        <w:rPr>
          <w:rFonts w:ascii="Arial" w:cs="Arial" w:eastAsia="Arial" w:hAnsi="Arial"/>
          <w:b/>
          <w:bCs/>
          <w:color w:val="2E5FAD"/>
          <w:sz w:val="24"/>
          <w:szCs w:val="24"/>
        </w:rPr>
        <w:t xml:space="preserve">6.3 Assumptions</w:t>
      </w:r>
    </w:p>
    <w:p>
      <w:pPr>
        <w:pStyle w:val="ListParagraph"/>
        <w:numPr>
          <w:ilvl w:val="0"/>
          <w:numId w:val="2"/>
        </w:numPr>
        <w:spacing w:after="60" w:before="60"/>
      </w:pPr>
      <w:r>
        <w:rPr>
          <w:rFonts w:ascii="Arial" w:cs="Arial" w:eastAsia="Arial" w:hAnsi="Arial"/>
          <w:sz w:val="22"/>
          <w:szCs w:val="22"/>
        </w:rPr>
        <w:t xml:space="preserve">The Kaggle dataset is representative of European cardholder behaviour (2013)</w:t>
      </w:r>
    </w:p>
    <w:p>
      <w:pPr>
        <w:pStyle w:val="ListParagraph"/>
        <w:numPr>
          <w:ilvl w:val="0"/>
          <w:numId w:val="2"/>
        </w:numPr>
        <w:spacing w:after="60" w:before="60"/>
      </w:pPr>
      <w:r>
        <w:rPr>
          <w:rFonts w:ascii="Arial" w:cs="Arial" w:eastAsia="Arial" w:hAnsi="Arial"/>
          <w:sz w:val="22"/>
          <w:szCs w:val="22"/>
        </w:rPr>
        <w:t xml:space="preserve">PCA-transformed features (V1–V28) preserve sufficient signal for fraud detection</w:t>
      </w:r>
    </w:p>
    <w:p>
      <w:pPr>
        <w:pStyle w:val="ListParagraph"/>
        <w:numPr>
          <w:ilvl w:val="0"/>
          <w:numId w:val="2"/>
        </w:numPr>
        <w:spacing w:after="60" w:before="60"/>
      </w:pPr>
      <w:r>
        <w:rPr>
          <w:rFonts w:ascii="Arial" w:cs="Arial" w:eastAsia="Arial" w:hAnsi="Arial"/>
          <w:sz w:val="22"/>
          <w:szCs w:val="22"/>
        </w:rPr>
        <w:t xml:space="preserve">All model development is performed in Google Colab using Python 3.x</w:t>
      </w:r>
    </w:p>
    <w:p>
      <w:pPr>
        <w:pStyle w:val="ListParagraph"/>
        <w:numPr>
          <w:ilvl w:val="0"/>
          <w:numId w:val="2"/>
        </w:numPr>
        <w:spacing w:after="60" w:before="60"/>
      </w:pPr>
      <w:r>
        <w:rPr>
          <w:rFonts w:ascii="Arial" w:cs="Arial" w:eastAsia="Arial" w:hAnsi="Arial"/>
          <w:sz w:val="22"/>
          <w:szCs w:val="22"/>
        </w:rPr>
        <w:t xml:space="preserve">The cost of a missed fraud is assumed to be 5x the cost of a false positive</w:t>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7. Expected Business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EF3FB" w:val="clear"/>
            <w:tcMar>
              <w:top w:type="dxa" w:w="120"/>
              <w:left w:type="dxa" w:w="200"/>
              <w:bottom w:type="dxa" w:w="120"/>
              <w:right w:type="dxa" w:w="200"/>
            </w:tcMar>
          </w:tcPr>
          <w:p>
            <w:pPr>
              <w:spacing w:after="60" w:before="40"/>
            </w:pPr>
            <w:r>
              <w:rPr>
                <w:rFonts w:ascii="Arial" w:cs="Arial" w:eastAsia="Arial" w:hAnsi="Arial"/>
                <w:b/>
                <w:bCs/>
                <w:color w:val="1B3A6B"/>
                <w:sz w:val="22"/>
                <w:szCs w:val="22"/>
              </w:rPr>
              <w:t xml:space="preserve">Illustrative ROI Scenario</w:t>
            </w:r>
          </w:p>
          <w:p>
            <w:pPr>
              <w:spacing w:after="40" w:before="40"/>
            </w:pPr>
            <w:r>
              <w:rPr>
                <w:rFonts w:ascii="Arial" w:cs="Arial" w:eastAsia="Arial" w:hAnsi="Arial"/>
                <w:i/>
                <w:iCs/>
                <w:sz w:val="21"/>
                <w:szCs w:val="21"/>
              </w:rPr>
              <w:t xml:space="preserve">Assume a bank processes 1,000,000 transactions per month. At a 0.17% fraud rate, ~1,700 are fraudulent. With an average fraud value of PHP 5,000, total monthly fraud exposure = PHP 8,500,000. A model achieving 85% recall would detect and prevent ~PHP 7,225,000 in monthly losses — a potential annual saving of ~PHP 86.7 million, offset by investigation costs for false positives.</w:t>
            </w:r>
          </w:p>
        </w:tc>
      </w:tr>
    </w:tbl>
    <w:p>
      <w:pPr>
        <w:spacing w:after="80" w:before="80"/>
      </w:pPr>
      <w:r>
        <w:t xml:space="preserve"/>
      </w:r>
    </w:p>
    <w:p>
      <w:pPr>
        <w:spacing w:after="120" w:before="80"/>
      </w:pPr>
      <w:r>
        <w:rPr>
          <w:rFonts w:ascii="Arial" w:cs="Arial" w:eastAsia="Arial" w:hAnsi="Arial"/>
          <w:sz w:val="22"/>
          <w:szCs w:val="22"/>
        </w:rPr>
        <w:t xml:space="preserve">Beyond direct financial savings, a well-calibrated fraud detection model delivers secondary benefits: improved customer trust, reduced manual review workloads, faster transaction decisioning, and a compliance-ready audit trail — all of which contribute to long-term institutional value.</w:t>
      </w:r>
    </w:p>
    <w:p>
      <w:pPr>
        <w:pBdr>
          <w:bottom w:val="single" w:color="1B3A6B" w:sz="4" w:space="1"/>
        </w:pBdr>
        <w:spacing w:after="160" w:before="160"/>
      </w:pPr>
      <w:r>
        <w:t xml:space="preserve"/>
      </w:r>
    </w:p>
    <w:p>
      <w:pPr>
        <w:pStyle w:val="Heading1"/>
        <w:spacing w:after="160" w:before="360"/>
      </w:pPr>
      <w:r>
        <w:rPr>
          <w:rFonts w:ascii="Arial" w:cs="Arial" w:eastAsia="Arial" w:hAnsi="Arial"/>
          <w:b/>
          <w:bCs/>
          <w:color w:val="1B3A6B"/>
          <w:sz w:val="28"/>
          <w:szCs w:val="28"/>
        </w:rPr>
        <w:t xml:space="preserve">8. Capstone Linkage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Assignment Step</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Maps To</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Step 1 (this document)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Capstone Steps 1–3</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Problem statement, task type, success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Collection &amp; Understanding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overview, data dictionary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Step 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EDA &amp; Feature Engineering</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EDA report, SHAP, PCA, feature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Implementation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models, comparison table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Step 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Ethical AI &amp; Bias Auditing</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Fairness analysis, SHAP explanations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deck + business deck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Step 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GitHub Upload</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Public repo with structured code</w:t>
            </w:r>
          </w:p>
        </w:tc>
      </w:tr>
    </w:tbl>
    <w:p>
      <w:pPr>
        <w:spacing w:after="80" w:before="80"/>
      </w:pPr>
      <w:r>
        <w:t xml:space="preserve"/>
      </w:r>
    </w:p>
    <w:p>
      <w:pPr>
        <w:spacing w:after="80" w:before="80"/>
      </w:pPr>
      <w:r>
        <w:t xml:space="preserve"/>
      </w:r>
    </w:p>
    <w:p>
      <w:pPr>
        <w:pBdr>
          <w:top w:val="single" w:color="CCCCCC" w:sz="4" w:space="1"/>
        </w:pBdr>
        <w:spacing w:after="80" w:before="240"/>
      </w:pPr>
      <w:r>
        <w:rPr>
          <w:rFonts w:ascii="Arial" w:cs="Arial" w:eastAsia="Arial" w:hAnsi="Arial"/>
          <w:color w:val="888888"/>
          <w:sz w:val="18"/>
          <w:szCs w:val="18"/>
        </w:rPr>
        <w:t xml:space="preserve">Asian Institute of Management  |  Machine Learning Capstone  |  Step 1: Problem Understanding &amp; Framing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2026-06-22T11:52:16.398Z</dcterms:created>
  <dcterms:modified xsi:type="dcterms:W3CDTF">2026-06-22T11:52:16.412Z</dcterms:modified>
</cp:coreProperties>
</file>

<file path=docProps/custom.xml><?xml version="1.0" encoding="utf-8"?>
<Properties xmlns="http://schemas.openxmlformats.org/officeDocument/2006/custom-properties" xmlns:vt="http://schemas.openxmlformats.org/officeDocument/2006/docPropsVTypes"/>
</file>