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aps/>
          <w:color w:val="888888"/>
          <w:sz w:val="20"/>
          <w:szCs w:val="20"/>
        </w:rPr>
        <w:t xml:space="preserve">CAPSTONE PROJECT</w:t>
      </w:r>
    </w:p>
    <w:p>
      <w:pPr>
        <w:spacing w:after="120" w:before="0"/>
        <w:jc w:val="center"/>
      </w:pPr>
      <w:r>
        <w:rPr>
          <w:rFonts w:ascii="Arial" w:cs="Arial" w:eastAsia="Arial" w:hAnsi="Arial"/>
          <w:b/>
          <w:bCs/>
          <w:color w:val="1B3A6B"/>
          <w:sz w:val="36"/>
          <w:szCs w:val="36"/>
        </w:rPr>
        <w:t xml:space="preserve">Machine Learning in Practice</w:t>
      </w:r>
    </w:p>
    <w:p>
      <w:pPr>
        <w:spacing w:after="400" w:before="0"/>
        <w:jc w:val="center"/>
      </w:pPr>
      <w:r>
        <w:rPr>
          <w:rFonts w:ascii="Arial" w:cs="Arial" w:eastAsia="Arial" w:hAnsi="Arial"/>
          <w:color w:val="555555"/>
          <w:sz w:val="24"/>
          <w:szCs w:val="24"/>
        </w:rPr>
        <w:t xml:space="preserve">Asian Institute of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300"/>
              <w:left w:type="dxa" w:w="400"/>
              <w:bottom w:type="dxa" w:w="300"/>
              <w:right w:type="dxa" w:w="400"/>
            </w:tcMar>
          </w:tcPr>
          <w:p>
            <w:pPr>
              <w:spacing w:after="80" w:before="80"/>
              <w:jc w:val="center"/>
            </w:pPr>
            <w:r>
              <w:rPr>
                <w:rFonts w:ascii="Arial" w:cs="Arial" w:eastAsia="Arial" w:hAnsi="Arial"/>
                <w:b/>
                <w:bCs/>
                <w:color w:val="FFFFFF"/>
                <w:sz w:val="40"/>
                <w:szCs w:val="40"/>
              </w:rPr>
              <w:t xml:space="preserve">Credit Card Fraud Detection</w:t>
            </w:r>
          </w:p>
          <w:p>
            <w:pPr>
              <w:spacing w:after="60" w:before="60"/>
              <w:jc w:val="center"/>
            </w:pPr>
            <w:r>
              <w:rPr>
                <w:rFonts w:ascii="Arial" w:cs="Arial" w:eastAsia="Arial" w:hAnsi="Arial"/>
                <w:i/>
                <w:iCs/>
                <w:color w:val="C5D8F5"/>
                <w:sz w:val="24"/>
                <w:szCs w:val="24"/>
              </w:rPr>
              <w:t xml:space="preserve">A Machine Learning Approach to Financial Transaction Security</w:t>
            </w:r>
          </w:p>
        </w:tc>
      </w:tr>
    </w:tbl>
    <w:p>
      <w:pPr>
        <w:spacing w:after="80" w:before="80"/>
      </w:pPr>
      <w:r>
        <w:t xml:space="preserve"/>
      </w:r>
    </w:p>
    <w:p>
      <w:pPr>
        <w:jc w:val="center"/>
      </w:pPr>
      <w:r>
        <w:rPr>
          <w:rFonts w:ascii="Arial" w:cs="Arial" w:eastAsia="Arial" w:hAnsi="Arial"/>
          <w:color w:val="444444"/>
          <w:sz w:val="22"/>
          <w:szCs w:val="22"/>
        </w:rPr>
        <w:t xml:space="preserve">Step 2: Data Collection &amp; Understanding</w:t>
      </w:r>
    </w:p>
    <w:p>
      <w:pPr>
        <w:spacing w:after="60" w:before="60"/>
        <w:jc w:val="center"/>
      </w:pPr>
      <w:r>
        <w:rPr>
          <w:rFonts w:ascii="Arial" w:cs="Arial" w:eastAsia="Arial" w:hAnsi="Arial"/>
          <w:color w:val="888888"/>
          <w:sz w:val="21"/>
          <w:szCs w:val="21"/>
        </w:rPr>
        <w:t xml:space="preserve">Finance Domain  |  Binary Classification  |  June 2026</w:t>
      </w:r>
    </w:p>
    <w:p>
      <w:pPr>
        <w:spacing w:after="80" w:before="80"/>
      </w:pPr>
      <w:r>
        <w:t xml:space="preserve"/>
      </w:r>
    </w:p>
    <w:p>
      <w:pPr>
        <w:spacing w:after="80" w:before="80"/>
      </w:pPr>
      <w:r>
        <w:t xml:space="preserve"/>
      </w:r>
    </w:p>
    <w:p>
      <w:pPr>
        <w:spacing w:after="80" w:before="80"/>
      </w:pPr>
      <w:r>
        <w:t xml:space="preserve"/>
      </w:r>
    </w:p>
    <w:p>
      <w:pPr>
        <w:spacing w:after="160" w:before="360"/>
      </w:pPr>
      <w:r>
        <w:rPr>
          <w:rFonts w:ascii="Arial" w:cs="Arial" w:eastAsia="Arial" w:hAnsi="Arial"/>
          <w:b/>
          <w:bCs/>
          <w:color w:val="1B3A6B"/>
          <w:sz w:val="28"/>
          <w:szCs w:val="28"/>
        </w:rPr>
        <w:t xml:space="preserve">1. Dataset Source &amp; Acquisition</w:t>
      </w:r>
    </w:p>
    <w:p>
      <w:pPr>
        <w:spacing w:after="120" w:before="80"/>
      </w:pPr>
      <w:r>
        <w:rPr>
          <w:rFonts w:ascii="Arial" w:cs="Arial" w:eastAsia="Arial" w:hAnsi="Arial"/>
          <w:sz w:val="22"/>
          <w:szCs w:val="22"/>
        </w:rPr>
        <w:t xml:space="preserve">The dataset used in this project is the Credit Card Fraud Detection dataset published by the Machine Learning Group of Université Libre de Bruxelles (ULB) and made publicly available on Kaggle. It is one of the most widely cited benchmark datasets for fraud detection research and has been used extensively in academic literature and industry benchmarking.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Attribute</w:t>
            </w:r>
          </w:p>
        </w:tc>
        <w:tc>
          <w:tcPr>
            <w:tcW w:type="dxa" w:w="57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Details</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Dataset Name</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Credit Card Fraud Detection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Kaggle / ULB Machine Learning Group</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URL</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kaggle.com/datasets/mlg-ulb/creditcardfraud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Format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(creditcard.csv)</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File Size</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Approximately 144 MB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Database License (ODbL)</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Data Period</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September 2013 (2 days of transactions)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European cardholders</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Last Updated</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2018 (stable benchmark dataset)</w:t>
            </w:r>
          </w:p>
        </w:tc>
      </w:tr>
    </w:tbl>
    <w:p>
      <w:pPr>
        <w:spacing w:after="80" w:before="80"/>
      </w:pPr>
      <w:r>
        <w:t xml:space="preserve"/>
      </w:r>
    </w:p>
    <w:p>
      <w:pPr>
        <w:pBdr>
          <w:bottom w:val="single" w:color="1B3A6B" w:sz="4" w:space="1"/>
        </w:pBdr>
        <w:spacing w:after="160" w:before="160"/>
      </w:pPr>
      <w:r>
        <w:t xml:space="preserve"/>
      </w:r>
    </w:p>
    <w:p>
      <w:pPr>
        <w:spacing w:after="160" w:before="360"/>
      </w:pPr>
      <w:r>
        <w:rPr>
          <w:rFonts w:ascii="Arial" w:cs="Arial" w:eastAsia="Arial" w:hAnsi="Arial"/>
          <w:b/>
          <w:bCs/>
          <w:color w:val="1B3A6B"/>
          <w:sz w:val="28"/>
          <w:szCs w:val="28"/>
        </w:rPr>
        <w:t xml:space="preserve">2. Dataset Overview</w:t>
      </w:r>
    </w:p>
    <w:p>
      <w:pPr>
        <w:spacing w:after="120" w:before="80"/>
      </w:pPr>
      <w:r>
        <w:rPr>
          <w:rFonts w:ascii="Arial" w:cs="Arial" w:eastAsia="Arial" w:hAnsi="Arial"/>
          <w:sz w:val="22"/>
          <w:szCs w:val="22"/>
        </w:rPr>
        <w:t xml:space="preserve">The dataset contains transactions made over two days in September 2013 by European credit cardholders. It captures the full picture of what a real-world fraud detection problem looks like — a massive volume of legitimate transactions, with a very small number of fraudulent ones hidden within.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Property</w:t>
            </w:r>
          </w:p>
        </w:tc>
        <w:tc>
          <w:tcPr>
            <w:tcW w:type="dxa" w:w="57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Transactions</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284,807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Fraudulent Transactions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492 (0.173%)</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Legitimate Transactions</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284,315 (99.827%)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Features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 (30 input features + 1 target)</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Missing Values</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Rows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1,081 (to be reviewed in Step 3)</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Target Variable</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Class (0 = Legitimate, 1 = Fraud)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Span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hours (172,792 seconds)</w:t>
            </w:r>
          </w:p>
        </w:tc>
      </w:tr>
    </w:tbl>
    <w:p>
      <w:pPr>
        <w:spacing w:after="80" w:before="80"/>
      </w:pPr>
      <w:r>
        <w:t xml:space="preserve"/>
      </w:r>
    </w:p>
    <w:p>
      <w:pPr>
        <w:pBdr>
          <w:bottom w:val="single" w:color="1B3A6B" w:sz="4" w:space="1"/>
        </w:pBdr>
        <w:spacing w:after="160" w:before="160"/>
      </w:pPr>
      <w:r>
        <w:t xml:space="preserve"/>
      </w:r>
    </w:p>
    <w:p>
      <w:pPr>
        <w:spacing w:after="160" w:before="360"/>
      </w:pPr>
      <w:r>
        <w:rPr>
          <w:rFonts w:ascii="Arial" w:cs="Arial" w:eastAsia="Arial" w:hAnsi="Arial"/>
          <w:b/>
          <w:bCs/>
          <w:color w:val="1B3A6B"/>
          <w:sz w:val="28"/>
          <w:szCs w:val="28"/>
        </w:rPr>
        <w:t xml:space="preserve">3. Feature Summary</w:t>
      </w:r>
    </w:p>
    <w:p>
      <w:pPr>
        <w:spacing w:after="120" w:before="80"/>
      </w:pPr>
      <w:r>
        <w:rPr>
          <w:rFonts w:ascii="Arial" w:cs="Arial" w:eastAsia="Arial" w:hAnsi="Arial"/>
          <w:sz w:val="22"/>
          <w:szCs w:val="22"/>
        </w:rPr>
        <w:t xml:space="preserve">The dataset contains three categories of features: PCA-transformed anonymised features, two interpretable numerical features, and the binary target variable.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200"/>
        <w:gridCol w:w="27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c>
          <w:tcPr>
            <w:tcW w:type="dxa" w:w="3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Features</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Count</w:t>
            </w:r>
          </w:p>
        </w:tc>
        <w:tc>
          <w:tcPr>
            <w:tcW w:type="dxa" w:w="27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PCA-Transformed</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V1, V2, V3, ... V28</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28</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Continuous (Float)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Interpretable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(Float)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Target Variable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Class</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Binary Integer (0 or 1)</w:t>
            </w:r>
          </w:p>
        </w:tc>
      </w:tr>
    </w:tbl>
    <w:p>
      <w:pPr>
        <w:spacing w:after="80" w:before="80"/>
      </w:pPr>
      <w:r>
        <w:t xml:space="preserve"/>
      </w:r>
    </w:p>
    <w:p>
      <w:pPr>
        <w:spacing w:after="120" w:before="80"/>
      </w:pPr>
      <w:r>
        <w:rPr>
          <w:rFonts w:ascii="Arial" w:cs="Arial" w:eastAsia="Arial" w:hAnsi="Arial"/>
          <w:i/>
          <w:iCs/>
          <w:color w:val="555555"/>
          <w:sz w:val="22"/>
          <w:szCs w:val="22"/>
        </w:rPr>
        <w:t xml:space="preserve">Note: The original features (cardholder name, merchant, location, etc.) have been withheld for confidentiality reasons. The V1–V28 features are the result of a Principal Component Analysis (PCA) transformation applied to the original data. While this limits direct business interpretability of individual features, it does not reduce the dataset's value for model training and evaluation.</w:t>
      </w:r>
    </w:p>
    <w:p>
      <w:pPr>
        <w:spacing w:after="80" w:before="80"/>
      </w:pPr>
      <w:r>
        <w:t xml:space="preserve"/>
      </w:r>
    </w:p>
    <w:p>
      <w:pPr>
        <w:pBdr>
          <w:bottom w:val="single" w:color="1B3A6B" w:sz="4" w:space="1"/>
        </w:pBdr>
        <w:spacing w:after="160" w:before="160"/>
      </w:pPr>
      <w:r>
        <w:t xml:space="preserve"/>
      </w:r>
    </w:p>
    <w:p>
      <w:pPr>
        <w:spacing w:after="160" w:before="360"/>
      </w:pPr>
      <w:r>
        <w:rPr>
          <w:rFonts w:ascii="Arial" w:cs="Arial" w:eastAsia="Arial" w:hAnsi="Arial"/>
          <w:b/>
          <w:bCs/>
          <w:color w:val="1B3A6B"/>
          <w:sz w:val="28"/>
          <w:szCs w:val="28"/>
        </w:rPr>
        <w:t xml:space="preserve">4. Data Dictionary</w:t>
      </w:r>
    </w:p>
    <w:p>
      <w:pPr>
        <w:spacing w:after="120" w:before="240"/>
      </w:pPr>
      <w:r>
        <w:rPr>
          <w:rFonts w:ascii="Arial" w:cs="Arial" w:eastAsia="Arial" w:hAnsi="Arial"/>
          <w:b/>
          <w:bCs/>
          <w:color w:val="2E5FAD"/>
          <w:sz w:val="24"/>
          <w:szCs w:val="24"/>
        </w:rPr>
        <w:t xml:space="preserve">4.1 PCA-Transformed Features (V1 – V28)</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400"/>
        <w:gridCol w:w="6160"/>
      </w:tblGrid>
      <w:tr>
        <w:trPr>
          <w:tblHeader/>
        </w:trPr>
        <w:tc>
          <w:tcPr>
            <w:tcW w:type="dxa" w:w="9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9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Range</w:t>
            </w:r>
          </w:p>
        </w:tc>
        <w:tc>
          <w:tcPr>
            <w:tcW w:type="dxa" w:w="61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V1</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1st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2nd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V3</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3rd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V5</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V7</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V9</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9th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V11</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11th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V13</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13th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V15</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15th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V17</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17th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V19</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19th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V21</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21st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22nd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V23</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23rd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V25</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25th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V27</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27th principal component of the original transaction features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Unbounded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28th principal component of the original transaction features</w:t>
            </w:r>
          </w:p>
        </w:tc>
      </w:tr>
    </w:tbl>
    <w:p>
      <w:pPr>
        <w:spacing w:after="80" w:before="80"/>
      </w:pPr>
      <w:r>
        <w:t xml:space="preserve"/>
      </w:r>
    </w:p>
    <w:p>
      <w:pPr>
        <w:spacing w:after="120" w:before="240"/>
      </w:pPr>
      <w:r>
        <w:rPr>
          <w:rFonts w:ascii="Arial" w:cs="Arial" w:eastAsia="Arial" w:hAnsi="Arial"/>
          <w:b/>
          <w:bCs/>
          <w:color w:val="2E5FAD"/>
          <w:sz w:val="24"/>
          <w:szCs w:val="24"/>
        </w:rPr>
        <w:t xml:space="preserve">4.2 Interpretable Features</w:t>
      </w:r>
    </w:p>
    <w:p>
      <w:pPr>
        <w:spacing w:after="80" w:before="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600"/>
        <w:gridCol w:w="900"/>
        <w:gridCol w:w="4560"/>
      </w:tblGrid>
      <w:tr>
        <w:trPr>
          <w:tblHeader/>
        </w:trPr>
        <w:tc>
          <w:tcPr>
            <w:tcW w:type="dxa" w:w="9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9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Range</w:t>
            </w:r>
          </w:p>
        </w:tc>
        <w:tc>
          <w:tcPr>
            <w:tcW w:type="dxa" w:w="9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Unit</w:t>
            </w:r>
          </w:p>
        </w:tc>
        <w:tc>
          <w:tcPr>
            <w:tcW w:type="dxa" w:w="45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Time</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Float</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 – 172,792</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Seconds</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Elapsed seconds between each transaction and the first transaction in the dataset. Useful for detecting time-of-day fraud patterns.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25,691.16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monetary value of the transaction. Higher-value transactions may carry different fraud risk profiles.</w:t>
            </w:r>
          </w:p>
        </w:tc>
      </w:tr>
    </w:tbl>
    <w:p>
      <w:pPr>
        <w:spacing w:after="80" w:before="80"/>
      </w:pPr>
      <w:r>
        <w:t xml:space="preserve"/>
      </w:r>
    </w:p>
    <w:p>
      <w:pPr>
        <w:spacing w:after="120" w:before="240"/>
      </w:pPr>
      <w:r>
        <w:rPr>
          <w:rFonts w:ascii="Arial" w:cs="Arial" w:eastAsia="Arial" w:hAnsi="Arial"/>
          <w:b/>
          <w:bCs/>
          <w:color w:val="2E5FAD"/>
          <w:sz w:val="24"/>
          <w:szCs w:val="24"/>
        </w:rPr>
        <w:t xml:space="preserve">4.3 Target Variable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496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Allowed Values</w:t>
            </w:r>
          </w:p>
        </w:tc>
        <w:tc>
          <w:tcPr>
            <w:tcW w:type="dxa" w:w="4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Class</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Integer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 or 1</w:t>
            </w:r>
          </w:p>
        </w:tc>
        <w:tc>
          <w:tcPr>
            <w:tcW w:type="dxa" w:w="4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Binary fraud label. 0 = legitimate transaction; 1 = confirmed fraudulent transaction. Ground truth was established through manual investigation.</w:t>
            </w:r>
          </w:p>
        </w:tc>
      </w:tr>
    </w:tbl>
    <w:p>
      <w:pPr>
        <w:spacing w:after="80" w:before="80"/>
      </w:pPr>
      <w:r>
        <w:t xml:space="preserve"/>
      </w:r>
    </w:p>
    <w:p>
      <w:pPr>
        <w:pBdr>
          <w:bottom w:val="single" w:color="1B3A6B" w:sz="4" w:space="1"/>
        </w:pBdr>
        <w:spacing w:after="160" w:before="160"/>
      </w:pPr>
      <w:r>
        <w:t xml:space="preserve"/>
      </w:r>
    </w:p>
    <w:p>
      <w:pPr>
        <w:spacing w:after="160" w:before="360"/>
      </w:pPr>
      <w:r>
        <w:rPr>
          <w:rFonts w:ascii="Arial" w:cs="Arial" w:eastAsia="Arial" w:hAnsi="Arial"/>
          <w:b/>
          <w:bCs/>
          <w:color w:val="1B3A6B"/>
          <w:sz w:val="28"/>
          <w:szCs w:val="28"/>
        </w:rPr>
        <w:t xml:space="preserve">5. Initial Data Observations</w:t>
      </w:r>
    </w:p>
    <w:p>
      <w:pPr>
        <w:spacing w:after="120" w:before="240"/>
      </w:pPr>
      <w:r>
        <w:rPr>
          <w:rFonts w:ascii="Arial" w:cs="Arial" w:eastAsia="Arial" w:hAnsi="Arial"/>
          <w:b/>
          <w:bCs/>
          <w:color w:val="2E5FAD"/>
          <w:sz w:val="24"/>
          <w:szCs w:val="24"/>
        </w:rPr>
        <w:t xml:space="preserve">5.1 Class Imbalance — The Central Challenge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FFF3CD" w:val="clear"/>
            <w:tcMar>
              <w:top w:type="dxa" w:w="120"/>
              <w:left w:type="dxa" w:w="200"/>
              <w:bottom w:type="dxa" w:w="120"/>
              <w:right w:type="dxa" w:w="200"/>
            </w:tcMar>
          </w:tcPr>
          <w:p>
            <w:pPr>
              <w:spacing w:after="60" w:before="40"/>
            </w:pPr>
            <w:r>
              <w:rPr>
                <w:rFonts w:ascii="Arial" w:cs="Arial" w:eastAsia="Arial" w:hAnsi="Arial"/>
                <w:b/>
                <w:bCs/>
                <w:color w:val="1B3A6B"/>
                <w:sz w:val="22"/>
                <w:szCs w:val="22"/>
              </w:rPr>
              <w:t xml:space="preserve">⚠  Severe Class Imbalance Detected</w:t>
            </w:r>
          </w:p>
          <w:p>
            <w:pPr>
              <w:spacing w:after="40" w:before="40"/>
            </w:pPr>
            <w:r>
              <w:rPr>
                <w:rFonts w:ascii="Arial" w:cs="Arial" w:eastAsia="Arial" w:hAnsi="Arial"/>
                <w:sz w:val="21"/>
                <w:szCs w:val="21"/>
              </w:rPr>
              <w:t xml:space="preserve">Only 492 out of 284,807 transactions are fraudulent — a fraud rate of 0.173%. This means the dataset is approximately 578:1 imbalanced in favour of legitimate transactions. A naive model that classifies every transaction as legitimate would achieve 99.827% accuracy while detecting zero fraud. Standard accuracy is therefore a misleading metric and will not be used as the primary evaluation criterion.</w:t>
            </w:r>
          </w:p>
        </w:tc>
      </w:tr>
    </w:tbl>
    <w:p>
      <w:pPr>
        <w:spacing w:after="80" w:before="80"/>
      </w:pPr>
      <w:r>
        <w:t xml:space="preserve"/>
      </w:r>
    </w:p>
    <w:p>
      <w:pPr>
        <w:spacing w:after="120" w:before="80"/>
      </w:pPr>
      <w:r>
        <w:rPr>
          <w:rFonts w:ascii="Arial" w:cs="Arial" w:eastAsia="Arial" w:hAnsi="Arial"/>
          <w:sz w:val="22"/>
          <w:szCs w:val="22"/>
        </w:rPr>
        <w:t xml:space="preserve">This imbalance is not a data quality problem — it accurately reflects the real-world distribution of fraud. However, it has significant implications for how the model must be trained and evaluated, and will drive several key decisions in Step 3 (resampling strategy) and Step 4 (threshold tuning and metric selection).</w:t>
      </w:r>
    </w:p>
    <w:p>
      <w:pPr>
        <w:spacing w:after="80" w:before="80"/>
      </w:pPr>
      <w:r>
        <w:t xml:space="preserve"/>
      </w:r>
    </w:p>
    <w:p>
      <w:pPr>
        <w:spacing w:after="120" w:before="240"/>
      </w:pPr>
      <w:r>
        <w:rPr>
          <w:rFonts w:ascii="Arial" w:cs="Arial" w:eastAsia="Arial" w:hAnsi="Arial"/>
          <w:b/>
          <w:bCs/>
          <w:color w:val="2E5FAD"/>
          <w:sz w:val="24"/>
          <w:szCs w:val="24"/>
        </w:rPr>
        <w:t xml:space="preserve">5.2 Missing Values &amp; Data Quality</w:t>
      </w:r>
    </w:p>
    <w:p>
      <w:pPr>
        <w:spacing w:after="80"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280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Check</w:t>
            </w:r>
          </w:p>
        </w:tc>
        <w:tc>
          <w:tcPr>
            <w:tcW w:type="dxa" w:w="41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Finding</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 Required</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Missing values</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None detected across all 31 columns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imputation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rows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1,081 rows identified as exact duplicates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be reviewed and removed in Step 3</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Negative values</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Amount column contains no negative values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action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Infinite values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detected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action needed</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Data types</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All features are numeric (float or int)</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encoding required</w:t>
            </w:r>
          </w:p>
        </w:tc>
      </w:tr>
    </w:tbl>
    <w:p>
      <w:pPr>
        <w:spacing w:after="80" w:before="80"/>
      </w:pPr>
      <w:r>
        <w:t xml:space="preserve"/>
      </w:r>
    </w:p>
    <w:p>
      <w:pPr>
        <w:spacing w:after="120" w:before="240"/>
      </w:pPr>
      <w:r>
        <w:rPr>
          <w:rFonts w:ascii="Arial" w:cs="Arial" w:eastAsia="Arial" w:hAnsi="Arial"/>
          <w:b/>
          <w:bCs/>
          <w:color w:val="2E5FAD"/>
          <w:sz w:val="24"/>
          <w:szCs w:val="24"/>
        </w:rPr>
        <w:t xml:space="preserve">5.3 Feature Scale Disparity</w:t>
      </w:r>
    </w:p>
    <w:p>
      <w:pPr>
        <w:spacing w:after="120" w:before="80"/>
      </w:pPr>
      <w:r>
        <w:rPr>
          <w:rFonts w:ascii="Arial" w:cs="Arial" w:eastAsia="Arial" w:hAnsi="Arial"/>
          <w:sz w:val="22"/>
          <w:szCs w:val="22"/>
        </w:rPr>
        <w:t xml:space="preserve">A notable disparity exists in the scale of features. The Time feature ranges from 0 to 172,792 seconds, and the Amount feature ranges from 0 to 25,691 EUR. The PCA-transformed features (V1–V28), by contrast, are already standardised with mean near zero and unit variance as a byproduct of PCA. This means that Time and Amount will require explicit scaling (StandardScaler or RobustScaler) before being passed into distance-sensitive models such as Logistic Regression or SVM to avoid those features dominating the others.</w:t>
      </w:r>
    </w:p>
    <w:p>
      <w:pPr>
        <w:spacing w:after="80" w:before="80"/>
      </w:pPr>
      <w:r>
        <w:t xml:space="preserve"/>
      </w:r>
    </w:p>
    <w:p>
      <w:pPr>
        <w:spacing w:after="120" w:before="240"/>
      </w:pPr>
      <w:r>
        <w:rPr>
          <w:rFonts w:ascii="Arial" w:cs="Arial" w:eastAsia="Arial" w:hAnsi="Arial"/>
          <w:b/>
          <w:bCs/>
          <w:color w:val="2E5FAD"/>
          <w:sz w:val="24"/>
          <w:szCs w:val="24"/>
        </w:rPr>
        <w:t xml:space="preserve">5.4 Amount Distribution</w:t>
      </w:r>
    </w:p>
    <w:p>
      <w:pPr>
        <w:spacing w:after="120" w:before="80"/>
      </w:pPr>
      <w:r>
        <w:rPr>
          <w:rFonts w:ascii="Arial" w:cs="Arial" w:eastAsia="Arial" w:hAnsi="Arial"/>
          <w:sz w:val="22"/>
          <w:szCs w:val="22"/>
        </w:rPr>
        <w:t xml:space="preserve">The transaction Amount feature is heavily right-skewed. The vast majority of transactions are small-value (median around EUR 22), while a long tail of higher-value transactions extends to EUR 25,691. Fraudulent transactions tend to cluster at lower amounts — a pattern consistent with real-world fraud behaviour where perpetrators test cards with small charges before escalating. This distribution characteristic will be explored further in the EDA phase in Step 3.</w:t>
      </w:r>
    </w:p>
    <w:p>
      <w:pPr>
        <w:spacing w:after="80" w:before="80"/>
      </w:pPr>
      <w:r>
        <w:t xml:space="preserve"/>
      </w:r>
    </w:p>
    <w:p>
      <w:pPr>
        <w:spacing w:after="120" w:before="240"/>
      </w:pPr>
      <w:r>
        <w:rPr>
          <w:rFonts w:ascii="Arial" w:cs="Arial" w:eastAsia="Arial" w:hAnsi="Arial"/>
          <w:b/>
          <w:bCs/>
          <w:color w:val="2E5FAD"/>
          <w:sz w:val="24"/>
          <w:szCs w:val="24"/>
        </w:rPr>
        <w:t xml:space="preserve">5.5 Time Distribution</w:t>
      </w:r>
    </w:p>
    <w:p>
      <w:pPr>
        <w:spacing w:after="120" w:before="80"/>
      </w:pPr>
      <w:r>
        <w:rPr>
          <w:rFonts w:ascii="Arial" w:cs="Arial" w:eastAsia="Arial" w:hAnsi="Arial"/>
          <w:sz w:val="22"/>
          <w:szCs w:val="22"/>
        </w:rPr>
        <w:t xml:space="preserve">The Time feature shows two clear peaks in transaction volume, corresponding to daytime activity across two consecutive days. Fraudulent transactions do not appear to be uniformly distributed across time, which suggests that time-of-day may carry some predictive signal. This will be examined more closely during the applied EDA in Step 3.</w:t>
      </w:r>
    </w:p>
    <w:p>
      <w:pPr>
        <w:spacing w:after="80" w:before="80"/>
      </w:pPr>
      <w:r>
        <w:t xml:space="preserve"/>
      </w:r>
    </w:p>
    <w:p>
      <w:pPr>
        <w:pBdr>
          <w:bottom w:val="single" w:color="1B3A6B" w:sz="4" w:space="1"/>
        </w:pBdr>
        <w:spacing w:after="160" w:before="160"/>
      </w:pPr>
      <w:r>
        <w:t xml:space="preserve"/>
      </w:r>
    </w:p>
    <w:p>
      <w:pPr>
        <w:spacing w:after="160" w:before="360"/>
      </w:pPr>
      <w:r>
        <w:rPr>
          <w:rFonts w:ascii="Arial" w:cs="Arial" w:eastAsia="Arial" w:hAnsi="Arial"/>
          <w:b/>
          <w:bCs/>
          <w:color w:val="1B3A6B"/>
          <w:sz w:val="28"/>
          <w:szCs w:val="28"/>
        </w:rPr>
        <w:t xml:space="preserve">6. Data Suitability Assessment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EEF3FB" w:val="clear"/>
            <w:tcMar>
              <w:top w:type="dxa" w:w="120"/>
              <w:left w:type="dxa" w:w="200"/>
              <w:bottom w:type="dxa" w:w="120"/>
              <w:right w:type="dxa" w:w="200"/>
            </w:tcMar>
          </w:tcPr>
          <w:p>
            <w:pPr>
              <w:spacing w:after="60" w:before="40"/>
            </w:pPr>
            <w:r>
              <w:rPr>
                <w:rFonts w:ascii="Arial" w:cs="Arial" w:eastAsia="Arial" w:hAnsi="Arial"/>
                <w:b/>
                <w:bCs/>
                <w:color w:val="1B3A6B"/>
                <w:sz w:val="22"/>
                <w:szCs w:val="22"/>
              </w:rPr>
              <w:t xml:space="preserve">Assessment Summary</w:t>
            </w:r>
          </w:p>
          <w:p>
            <w:pPr>
              <w:spacing w:after="40" w:before="40"/>
            </w:pPr>
            <w:r>
              <w:rPr>
                <w:rFonts w:ascii="Arial" w:cs="Arial" w:eastAsia="Arial" w:hAnsi="Arial"/>
                <w:i/>
                <w:iCs/>
                <w:sz w:val="21"/>
                <w:szCs w:val="21"/>
              </w:rPr>
              <w:t xml:space="preserve">The ULB Credit Card Fraud dataset is well-suited for this capstone project. It is clean, complete, and well-documented. The severe class imbalance, while a modelling challenge, is realistic and provides a strong opportunity to demonstrate proficiency in imbalance handling techniques. The PCA-transformed features preserve sufficient signal for fraud detection while protecting cardholder privacy. The dataset's wide adoption in academic research also provides a rich body of reference work for benchmarking model performance.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Suitability Criterion</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Assessment</w:t>
            </w:r>
          </w:p>
        </w:tc>
        <w:tc>
          <w:tcPr>
            <w:tcW w:type="dxa" w:w="45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Data completeness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Excellent</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missing values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volume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Excellent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284,807 records — sufficient for train/test split and cross-validation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Label quality</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Good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Ground truth established through manual investigation by ULB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richness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Adequate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 PCA components retain majority of original variance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Class imbalance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Challenge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0.173% fraud rate requires resampling and careful metric selection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Interpretability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Limited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PCA features are anonymised — SHAP values will be used for explainability</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Philippine relevance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Indirect</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European data; findings treated as a transferable framework for PH context</w:t>
            </w:r>
          </w:p>
        </w:tc>
      </w:tr>
    </w:tbl>
    <w:p>
      <w:pPr>
        <w:spacing w:after="80" w:before="80"/>
      </w:pPr>
      <w:r>
        <w:t xml:space="preserve"/>
      </w:r>
    </w:p>
    <w:p>
      <w:pPr>
        <w:spacing w:after="80" w:before="80"/>
      </w:pPr>
      <w:r>
        <w:t xml:space="preserve"/>
      </w:r>
    </w:p>
    <w:p>
      <w:pPr>
        <w:pBdr>
          <w:top w:val="single" w:color="CCCCCC" w:sz="4" w:space="1"/>
        </w:pBdr>
        <w:spacing w:after="80" w:before="240"/>
      </w:pPr>
      <w:r>
        <w:rPr>
          <w:rFonts w:ascii="Arial" w:cs="Arial" w:eastAsia="Arial" w:hAnsi="Arial"/>
          <w:color w:val="888888"/>
          <w:sz w:val="18"/>
          <w:szCs w:val="18"/>
        </w:rPr>
        <w:t xml:space="preserve">Asian Institute of Management  |  Machine Learning Capstone  |  Step 2: Data Collection &amp; Understanding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2026-06-23T14:01:07.808Z</dcterms:created>
  <dcterms:modified xsi:type="dcterms:W3CDTF">2026-06-23T14:01:07.819Z</dcterms:modified>
</cp:coreProperties>
</file>

<file path=docProps/custom.xml><?xml version="1.0" encoding="utf-8"?>
<Properties xmlns="http://schemas.openxmlformats.org/officeDocument/2006/custom-properties" xmlns:vt="http://schemas.openxmlformats.org/officeDocument/2006/docPropsVTypes"/>
</file>