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78ece7d6156191fe8ab9993582305278753209e"/>
    <w:p>
      <w:pPr>
        <w:pStyle w:val="Heading1"/>
      </w:pPr>
      <w:r>
        <w:t xml:space="preserve">Supplementary Material: Number-to-source traceability</w:t>
      </w:r>
    </w:p>
    <w:p>
      <w:pPr>
        <w:pStyle w:val="FirstParagraph"/>
      </w:pPr>
      <w:r>
        <w:t xml:space="preserve">This document contains the number-to-source traceability table and figure plan (formerly Appendix A of the manuscript). It is provided as Supplementary Material and is also available in the validation repository.</w:t>
      </w:r>
    </w:p>
    <w:bookmarkStart w:id="12" w:name="number-to-source-traceability"/>
    <w:p>
      <w:pPr>
        <w:pStyle w:val="Heading2"/>
      </w:pPr>
      <w:r>
        <w:t xml:space="preserve">Number-to-source traceability</w:t>
      </w:r>
    </w:p>
    <w:p>
      <w:pPr>
        <w:pStyle w:val="FirstParagraph"/>
      </w:pPr>
      <w:r>
        <w:t xml:space="preserve">Analysis protocol: v1.0, dated 2026-09-14, archived at osf.io/pjvk8 (Open-Ended Registration, OSF Registries).</w:t>
      </w:r>
    </w:p>
    <w:bookmarkStart w:id="9" w:name="rounding-policy"/>
    <w:p>
      <w:pPr>
        <w:pStyle w:val="Heading3"/>
      </w:pPr>
      <w:r>
        <w:t xml:space="preserve">Rounding policy</w:t>
      </w:r>
    </w:p>
    <w:p>
      <w:pPr>
        <w:pStyle w:val="FirstParagraph"/>
      </w:pPr>
      <w:r>
        <w:t xml:space="preserve">Body values are rounded or truncated for readability from the exact JSON checkpoint values listed in Table A1. Percentages are computed from the unrounded source values before rounding. Where a body number and A1 number differ in the last digit, the A1 JSON value is authoritative.</w:t>
      </w:r>
    </w:p>
    <w:bookmarkEnd w:id="9"/>
    <w:bookmarkStart w:id="10" w:name="X7af069cee1f4380a608094947e826988ac0d70c"/>
    <w:p>
      <w:pPr>
        <w:pStyle w:val="Heading3"/>
      </w:pPr>
      <w:r>
        <w:t xml:space="preserve">Table A1. Claims and sources (all 2026-09-15, timestamped, archived)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Claim (value)</w:t>
            </w:r>
          </w:p>
        </w:tc>
        <w:tc>
          <w:tcPr/>
          <w:p>
            <w:pPr>
              <w:pStyle w:val="Compact"/>
            </w:pPr>
            <w:r>
              <w:t xml:space="preserve">Source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V1 production n=2000/5000 residual tables; v P99 1.04e-2/1.17e-2</w:t>
            </w:r>
          </w:p>
        </w:tc>
        <w:tc>
          <w:tcPr/>
          <w:p>
            <w:pPr>
              <w:pStyle w:val="Compact"/>
            </w:pPr>
            <w:r>
              <w:t xml:space="preserve">results/V1_ode_residual{V1_result.json}; results/V1_ode_residual_prod_n5000/V1_result.json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V1 subset-faithful PASS (v P99 9.36e-3)</w:t>
            </w:r>
          </w:p>
        </w:tc>
        <w:tc>
          <w:tcPr/>
          <w:p>
            <w:pPr>
              <w:pStyle w:val="Compact"/>
            </w:pPr>
            <w:r>
              <w:t xml:space="preserve">results/V1_subset_faithful/V1_result.json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E2 budget sweep identical across 10/20/30/50 (med 1.195e-3, P99 8.159e-3, max 6.55e-2; 0 unconv)</w:t>
            </w:r>
          </w:p>
        </w:tc>
        <w:tc>
          <w:tcPr/>
          <w:p>
            <w:pPr>
              <w:pStyle w:val="Compact"/>
            </w:pPr>
            <w:r>
              <w:t xml:space="preserve">results/V1_iteration_sweep/V1_iter_sweep.json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E2 iteration sweep (indistinguishable 10→50) + three-arm K/tol decomposition (median ~28× K effect; P99 6.77–9.79e-3; max tol-sensitive 6.55e-2→1.72e-2; cos ≥0.999999)</w:t>
            </w:r>
          </w:p>
        </w:tc>
        <w:tc>
          <w:tcPr/>
          <w:p>
            <w:pPr>
              <w:pStyle w:val="Compact"/>
            </w:pPr>
            <w:r>
              <w:t xml:space="preserve">results/V1_iteration_sweep/V1_iter_sweep.json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E1 cross-hardware: v max rel 7.13e-6, P99 1.43e-6, cos min 1.0; u max 3.03e-4</w:t>
            </w:r>
          </w:p>
        </w:tc>
        <w:tc>
          <w:tcPr/>
          <w:p>
            <w:pPr>
              <w:pStyle w:val="Compact"/>
            </w:pPr>
            <w:r>
              <w:t xml:space="preserve">results/V3_cpu_gpu_faithful/V3_result.json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L2/L3 determinism (β med 3.91741; max</w:t>
            </w:r>
          </w:p>
        </w:tc>
        <w:tc>
          <w:tcPr/>
          <w:p>
            <w:pPr>
              <w:pStyle w:val="Compact"/>
            </w:pPr>
            <w:r>
              <w:t xml:space="preserve">Δv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T0.4 evidence (requested 20/actual 107.31/adaptive → 20/20/manual)</w:t>
            </w:r>
          </w:p>
        </w:tc>
        <w:tc>
          <w:tcPr/>
          <w:p>
            <w:pPr>
              <w:pStyle w:val="Compact"/>
            </w:pPr>
            <w:r>
              <w:t xml:space="preserve">ckpt_r20 first-run vs post-fix metadata; engine lines 187/224/309/312/572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T0.5 evidence (β max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V5 3b: rm20 0.38587/1.075; rm100 0.69885/1.148</w:t>
            </w:r>
          </w:p>
        </w:tc>
        <w:tc>
          <w:tcPr/>
          <w:p>
            <w:pPr>
              <w:pStyle w:val="Compact"/>
            </w:pPr>
            <w:r>
              <w:t xml:space="preserve">results/V5_rate_max compare_manual_vs_adaptive.log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V6: P90=5.354, P50=1.751; counts 19,485/77,937/97,421; sums 82,808.8/126,648.2; L2 β Δ=0.0, bias Δ=3.18</w:t>
            </w:r>
          </w:p>
        </w:tc>
        <w:tc>
          <w:tcPr/>
          <w:p>
            <w:pPr>
              <w:pStyle w:val="Compact"/>
            </w:pPr>
            <w:r>
              <w:t xml:space="preserve">export_manifest_v6(_b).json; ckpt array diffs; V6_grn_tiered/COMPARE_result.json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V7b: cosine 0.80198/min 0.08674/rel 0.6115; V7a: 0.67965/0.29946/0.7952</w:t>
            </w:r>
          </w:p>
        </w:tc>
        <w:tc>
          <w:tcPr/>
          <w:p>
            <w:pPr>
              <w:pStyle w:val="Compact"/>
            </w:pPr>
            <w:r>
              <w:t xml:space="preserve">results/V7_no_cycling/COMPARE_v7_result.json; results/V7_no_renorm/COMPARE_v7_result.json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V8: K=10/20 cosine 0.99999 (min 0.998); faithful K=20 1.00000 (min 0.99965)</w:t>
            </w:r>
          </w:p>
        </w:tc>
        <w:tc>
          <w:tcPr/>
          <w:p>
            <w:pPr>
              <w:pStyle w:val="Compact"/>
            </w:pPr>
            <w:r>
              <w:t xml:space="preserve">V8_K_sensitivity/COMPARE_result.json; l3_adaptive_K20probe compare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Memory 5.82 GB @ (5000, 17714, K10, bs1024); K20 OOM @ bs1024; K20 @ bs512 passes</w:t>
            </w:r>
          </w:p>
        </w:tc>
        <w:tc>
          <w:tcPr/>
          <w:p>
            <w:pPr>
              <w:pStyle w:val="Compact"/>
            </w:pPr>
            <w:r>
              <w:t xml:space="preserve">L3 console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Production config: adaptive 107.31; K=10; bs=2048; tol 1e-3; 74,984 × 17,714; W 194,843</w:t>
            </w:r>
          </w:p>
        </w:tc>
        <w:tc>
          <w:tcPr/>
          <w:p>
            <w:pPr>
              <w:pStyle w:val="Compact"/>
            </w:pPr>
            <w:r>
              <w:t xml:space="preserve">ckpt_adaptive metadata; production l3_metadata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E2c tail grounding: C1q_inflammatory 2.02× enriched in top-1% residual (19/50, spread across 9/12 samples; within-state permutation p=0.57); Fisher exact p=1.5e-3, OR=2.67 (Bonferroni-significant across 6 states); Homeo/DAM 0.65–0.67×; Prolif 0/50; per-state mean uniform 1.59–1.72e-3</w:t>
            </w:r>
          </w:p>
        </w:tc>
        <w:tc>
          <w:tcPr/>
          <w:p>
            <w:pPr>
              <w:pStyle w:val="Compact"/>
            </w:pPr>
            <w:r>
              <w:t xml:space="preserve">results/E2c_tail_grounding/E2c_result.json + E2c_sample_aware.json (Fisher rerun, sample distribution, permutation)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E4 fate control: full vs no_cycle Spearman med 1.00 / agree 0.892 / shift ≤0.18; vs norenorm 0.943/0.835; vs diffusion 0.829/0.612</w:t>
            </w:r>
          </w:p>
        </w:tc>
        <w:tc>
          <w:tcPr/>
          <w:p>
            <w:pPr>
              <w:pStyle w:val="Compact"/>
            </w:pPr>
            <w:r>
              <w:t xml:space="preserve">results/E4_fate_control/E4_result.json</w:t>
            </w:r>
          </w:p>
        </w:tc>
      </w:tr>
    </w:tbl>
    <w:bookmarkEnd w:id="10"/>
    <w:bookmarkStart w:id="11" w:name="figure-plan投稿前排版"/>
    <w:p>
      <w:pPr>
        <w:pStyle w:val="Heading3"/>
      </w:pPr>
      <w:r>
        <w:t xml:space="preserve">Figure </w:t>
      </w:r>
      <w:r>
        <w:rPr>
          <w:rFonts w:hint="eastAsia"/>
        </w:rPr>
        <w:t xml:space="preserve">plan（投稿前排版）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Engine architecture + </w:t>
            </w:r>
            <w:r>
              <w:rPr>
                <w:rFonts w:hint="eastAsia"/>
              </w:rPr>
              <w:t xml:space="preserve">三项验证纪律流程图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定稿（fig1_architecture_disciplines.py/png/pdf）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Dominance ranking </w:t>
            </w:r>
            <w:r>
              <w:rPr>
                <w:rFonts w:hint="eastAsia"/>
              </w:rPr>
              <w:t xml:space="preserve">四象限（gene</w:t>
            </w:r>
            <w:r>
              <w:t xml:space="preserve"> universe / rate bound / GRN / K × </w:t>
            </w:r>
            <w:r>
              <w:rPr>
                <w:rFonts w:hint="eastAsia"/>
              </w:rPr>
              <w:t xml:space="preserve">方向-幅度）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定稿（fig2_dominance_landscape.py/png/pdf）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E2/E2b </w:t>
            </w:r>
            <w:r>
              <w:rPr>
                <w:rFonts w:hint="eastAsia"/>
              </w:rPr>
              <w:t xml:space="preserve">残差分解（iteration</w:t>
            </w:r>
            <w:r>
              <w:t xml:space="preserve"> sweep + K/tol </w:t>
            </w:r>
            <w:r>
              <w:rPr>
                <w:rFonts w:hint="eastAsia"/>
              </w:rPr>
              <w:t xml:space="preserve">三层）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定稿（fig3_e2_residual_decomposition.py/png/pdf）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E4 fate </w:t>
            </w:r>
            <w:r>
              <w:rPr>
                <w:rFonts w:hint="eastAsia"/>
              </w:rPr>
              <w:t xml:space="preserve">级对照（full</w:t>
            </w:r>
            <w:r>
              <w:t xml:space="preserve"> vs no-cycle </w:t>
            </w:r>
            <w:r>
              <w:rPr>
                <w:rFonts w:hint="eastAsia"/>
              </w:rPr>
              <w:t xml:space="preserve">的</w:t>
            </w:r>
            <w:r>
              <w:t xml:space="preserve"> fate </w:t>
            </w:r>
            <w:r>
              <w:rPr>
                <w:rFonts w:hint="eastAsia"/>
              </w:rPr>
              <w:t xml:space="preserve">全景/一致性）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定稿（fig4_e4_fate_control.py/png/pdf）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E2c </w:t>
            </w:r>
            <w:r>
              <w:rPr>
                <w:rFonts w:hint="eastAsia"/>
              </w:rPr>
              <w:t xml:space="preserve">残差长尾的</w:t>
            </w:r>
            <w:r>
              <w:t xml:space="preserve"> cell-state </w:t>
            </w:r>
            <w:r>
              <w:rPr>
                <w:rFonts w:hint="eastAsia"/>
              </w:rPr>
              <w:t xml:space="preserve">分布（C1q_inflammatory</w:t>
            </w:r>
            <w:r>
              <w:t xml:space="preserve"> 2.0× </w:t>
            </w:r>
            <w:r>
              <w:rPr>
                <w:rFonts w:hint="eastAsia"/>
              </w:rPr>
              <w:t xml:space="preserve">富集）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定稿（fig5_e2c_state_distribution.py/png/pdf）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SAVI L3 scaling curves: runtime vs. cells and genes, dual-axis GPU memory, scVelo and A1#13 references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定稿（fig6_scaling_curve.py/png/pdf）</w:t>
            </w:r>
          </w:p>
        </w:tc>
      </w:tr>
    </w:tbl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2026-09-18T17:42:45Z</dcterms:created>
  <dcterms:modified xsi:type="dcterms:W3CDTF">2026-09-18T17:42:45Z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