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b3c9ce6f7b4129b249a59c59d4a552649d31760"/>
    <w:p>
      <w:pPr>
        <w:pStyle w:val="Heading1"/>
      </w:pPr>
      <w:r>
        <w:t xml:space="preserve">Supplementary Table S2 — SAVI L3 scaling data and reference runtimes</w:t>
      </w:r>
    </w:p>
    <w:p>
      <w:pPr>
        <w:pStyle w:val="FirstParagraph"/>
      </w:pPr>
      <w:r>
        <w:t xml:space="preserve">This note supports Fig. 6 and §2.5 of the main text. All SAVI L3 timings were measured end-to-end on the same NVIDIA GeForce RTX 5070 Ti Laptop GPU (11.50 GB VRAM) under the production engine configuration: single-precision (FP32), K = 10 segments, Picard tolerance 1e-3, iteration budget 10, adaptive per-gene rate bound. The production gene universe is G = 17,714.</w:t>
      </w:r>
    </w:p>
    <w:bookmarkStart w:id="9" w:name="Xbfb1fdff89c2031460616ce8cdd830deeee372b"/>
    <w:p>
      <w:pPr>
        <w:pStyle w:val="Heading2"/>
      </w:pPr>
      <w:r>
        <w:t xml:space="preserve">SAVI L3 cell scaling (fixed G = 17,714, batch size = 1,024)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Cells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Genes (G)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GPU memory (GB)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6.524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6.524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6.524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6.524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74,984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6.524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</w:tbl>
    <w:p>
      <w:pPr>
        <w:pStyle w:val="BodyText"/>
      </w:pPr>
      <w:r>
        <w:t xml:space="preserve">Memory was insensitive to cell count over the tested range; runtime increased approximately linearly with N (R² ≈ 0.9999 versus a straight line through the origin).</w:t>
      </w:r>
    </w:p>
    <w:bookmarkEnd w:id="9"/>
    <w:bookmarkStart w:id="10" w:name="X6a2e03255bbe71af0e8db0873fa3bf00217784f"/>
    <w:p>
      <w:pPr>
        <w:pStyle w:val="Heading2"/>
      </w:pPr>
      <w:r>
        <w:t xml:space="preserve">SAVI L3 gene scaling (fixed N = 5,000, batch size = 1,024)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Cells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Genes (G)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GPU memory (GB)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1.991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3.763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6.524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</w:tbl>
    <w:p>
      <w:pPr>
        <w:pStyle w:val="BodyText"/>
      </w:pPr>
      <w:r>
        <w:t xml:space="preserve">Gene scaling increased both runtime and memory.</w:t>
      </w:r>
    </w:p>
    <w:bookmarkEnd w:id="10"/>
    <w:bookmarkStart w:id="11" w:name="reference-memory-benchmarks"/>
    <w:p>
      <w:pPr>
        <w:pStyle w:val="Heading2"/>
      </w:pPr>
      <w:r>
        <w:t xml:space="preserve">Reference memory benchmarks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092"/>
        <w:gridCol w:w="1092"/>
        <w:gridCol w:w="1092"/>
        <w:gridCol w:w="1092"/>
        <w:gridCol w:w="1092"/>
        <w:gridCol w:w="819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GPU memory (GB)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A1#13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Main-text reference point used in Fig.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A1#13 tightened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&gt;11.50</w:t>
            </w:r>
          </w:p>
        </w:tc>
        <w:tc>
          <w:tcPr/>
          <w:p>
            <w:pPr>
              <w:pStyle w:val="Compact"/>
            </w:pPr>
            <w:r>
              <w:t xml:space="preserve">OOM</w:t>
            </w:r>
          </w:p>
        </w:tc>
        <w:tc>
          <w:tcPr/>
          <w:p>
            <w:pPr>
              <w:pStyle w:val="Compact"/>
            </w:pPr>
            <w:r>
              <w:t xml:space="preserve">Exceeded device capacity; omitted from plot</w:t>
            </w:r>
          </w:p>
        </w:tc>
      </w:tr>
    </w:tbl>
    <w:bookmarkEnd w:id="11"/>
    <w:bookmarkStart w:id="12" w:name="Xbeab390750e6bd60471925ed8da566eda1da9bc"/>
    <w:p>
      <w:pPr>
        <w:pStyle w:val="Heading2"/>
      </w:pPr>
      <w:r>
        <w:t xml:space="preserve">scVelo dynamical-model reference runtimes (CPU, no GRN constraint)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Cells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Genes (G)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CPU memory (GB)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2.126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4.251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</w:tbl>
    <w:p>
      <w:pPr>
        <w:pStyle w:val="BodyText"/>
      </w:pPr>
      <w:r>
        <w:t xml:space="preserve">These runs used scVelo’s deterministic dynamical model (</w:t>
      </w:r>
      <w:r>
        <w:rPr>
          <w:rStyle w:val="VerbatimChar"/>
        </w:rPr>
        <w:t xml:space="preserve">scv.tl.recover_dynamics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scv.tl.velocity(mode='dynamical')</w:t>
      </w:r>
      <w:r>
        <w:t xml:space="preserve">) and are shown in Fig. 6 only as a dynamical-modeling comparator. They do not enforce the GRN prior used by SAVI, so the numbers are not intended as a direct method-equivalence benchmark.</w:t>
      </w:r>
    </w:p>
    <w:bookmarkEnd w:id="12"/>
    <w:bookmarkStart w:id="13" w:name="measurement-details"/>
    <w:p>
      <w:pPr>
        <w:pStyle w:val="Heading2"/>
      </w:pPr>
      <w:r>
        <w:t xml:space="preserve">Measurement details</w:t>
      </w:r>
    </w:p>
    <w:p>
      <w:pPr>
        <w:pStyle w:val="Compact"/>
        <w:numPr>
          <w:ilvl w:val="0"/>
          <w:numId w:val="1001"/>
        </w:numPr>
      </w:pPr>
      <w:r>
        <w:t xml:space="preserve">SAVI timestamps were recorded immediately before and after the L3 propagation call; they exclude L2 fitting and I/O.</w:t>
      </w:r>
    </w:p>
    <w:p>
      <w:pPr>
        <w:pStyle w:val="Compact"/>
        <w:numPr>
          <w:ilvl w:val="0"/>
          <w:numId w:val="1001"/>
        </w:numPr>
      </w:pPr>
      <w:r>
        <w:t xml:space="preserve">GPU memory was sampled via</w:t>
      </w:r>
      <w:r>
        <w:t xml:space="preserve"> </w:t>
      </w:r>
      <w:r>
        <w:rPr>
          <w:rStyle w:val="VerbatimChar"/>
        </w:rPr>
        <w:t xml:space="preserve">torch.cuda.max_memory_allocated()</w:t>
      </w:r>
      <w:r>
        <w:t xml:space="preserve"> </w:t>
      </w:r>
      <w:r>
        <w:t xml:space="preserve">and converted to GiB (÷ 1024³).</w:t>
      </w:r>
    </w:p>
    <w:p>
      <w:pPr>
        <w:pStyle w:val="Compact"/>
        <w:numPr>
          <w:ilvl w:val="0"/>
          <w:numId w:val="1001"/>
        </w:numPr>
      </w:pPr>
      <w:r>
        <w:t xml:space="preserve">scVelo memory was sampled via</w:t>
      </w:r>
      <w:r>
        <w:t xml:space="preserve"> </w:t>
      </w:r>
      <w:r>
        <w:rPr>
          <w:rStyle w:val="VerbatimChar"/>
        </w:rPr>
        <w:t xml:space="preserve">tracemalloc</w:t>
      </w:r>
      <w:r>
        <w:t xml:space="preserve"> </w:t>
      </w:r>
      <w:r>
        <w:t xml:space="preserve">peak resident RSS on the CPU.</w:t>
      </w:r>
    </w:p>
    <w:p>
      <w:pPr>
        <w:pStyle w:val="Compact"/>
        <w:numPr>
          <w:ilvl w:val="0"/>
          <w:numId w:val="1001"/>
        </w:numPr>
      </w:pPr>
      <w:r>
        <w:t xml:space="preserve">Software versions:</w:t>
      </w:r>
      <w:r>
        <w:t xml:space="preserve"> </w:t>
      </w:r>
      <w:r>
        <w:rPr>
          <w:rStyle w:val="VerbatimChar"/>
        </w:rPr>
        <w:t xml:space="preserve">regvelo==0.4.2</w:t>
      </w:r>
      <w:r>
        <w:t xml:space="preserve">,</w:t>
      </w:r>
      <w:r>
        <w:t xml:space="preserve"> </w:t>
      </w:r>
      <w:r>
        <w:rPr>
          <w:rStyle w:val="VerbatimChar"/>
        </w:rPr>
        <w:t xml:space="preserve">scvelo==0.3.4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torch==2.11.0+cu128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numpy==2.4.2</w:t>
      </w:r>
      <w:r>
        <w:t xml:space="preserve">, Python 3.12.</w:t>
      </w:r>
    </w:p>
    <w:bookmarkEnd w:id="13"/>
    <w:bookmarkStart w:id="14" w:name="source-files"/>
    <w:p>
      <w:pPr>
        <w:pStyle w:val="Heading2"/>
      </w:pPr>
      <w:r>
        <w:t xml:space="preserve">Source files</w:t>
      </w:r>
    </w:p>
    <w:p>
      <w:pPr>
        <w:pStyle w:val="Compact"/>
        <w:numPr>
          <w:ilvl w:val="0"/>
          <w:numId w:val="1002"/>
        </w:numPr>
      </w:pPr>
      <w:r>
        <w:t xml:space="preserve">Scaling harness:</w:t>
      </w:r>
      <w:r>
        <w:t xml:space="preserve"> </w:t>
      </w:r>
      <w:r>
        <w:rPr>
          <w:rStyle w:val="VerbatimChar"/>
        </w:rPr>
        <w:t xml:space="preserve">B2_scaling_collect.py</w:t>
      </w:r>
    </w:p>
    <w:p>
      <w:pPr>
        <w:pStyle w:val="Compact"/>
        <w:numPr>
          <w:ilvl w:val="0"/>
          <w:numId w:val="1002"/>
        </w:numPr>
      </w:pPr>
      <w:r>
        <w:t xml:space="preserve">Raw result JSON:</w:t>
      </w:r>
      <w:r>
        <w:t xml:space="preserve"> </w:t>
      </w:r>
      <w:r>
        <w:rPr>
          <w:rStyle w:val="VerbatimChar"/>
        </w:rPr>
        <w:t xml:space="preserve">results/B2_scaling/B2_result.json</w:t>
      </w:r>
    </w:p>
    <w:p>
      <w:pPr>
        <w:pStyle w:val="Compact"/>
        <w:numPr>
          <w:ilvl w:val="0"/>
          <w:numId w:val="1002"/>
        </w:numPr>
      </w:pPr>
      <w:r>
        <w:t xml:space="preserve">Figure script:</w:t>
      </w:r>
      <w:r>
        <w:t xml:space="preserve"> </w:t>
      </w:r>
      <w:r>
        <w:rPr>
          <w:rStyle w:val="VerbatimChar"/>
        </w:rPr>
        <w:t xml:space="preserve">fig6_scaling_curve.py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2026-09-18T17:22:18Z</dcterms:created>
  <dcterms:modified xsi:type="dcterms:W3CDTF">2026-09-18T17:22:18Z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