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6816775b4094b71793733153b619ee381001bb"/>
    <w:p>
      <w:pPr>
        <w:pStyle w:val="Heading1"/>
      </w:pPr>
      <w:r>
        <w:t xml:space="preserve">Supplementary Note SN-B3 — Dentate gyrus cross-dataset portability arm</w:t>
      </w:r>
    </w:p>
    <w:p>
      <w:pPr>
        <w:pStyle w:val="FirstParagraph"/>
      </w:pPr>
      <w:r>
        <w:t xml:space="preserve">This note documents the secondary cross-dataset validation reported in §3.10. The goal was to test whether the numerical validation disciplines (convergence, cross-hardware consistency, bounded sensitivity) transfer to an independent dataset and a sparser, uncurated regulatory prior, not to replicate the biological conclusions of the main atlas.</w:t>
      </w:r>
    </w:p>
    <w:bookmarkStart w:id="9" w:name="dataset"/>
    <w:p>
      <w:pPr>
        <w:pStyle w:val="Heading2"/>
      </w:pPr>
      <w:r>
        <w:t xml:space="preserve">Dataset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Accession:</w:t>
      </w:r>
      <w:r>
        <w:t xml:space="preserve"> </w:t>
      </w:r>
      <w:r>
        <w:t xml:space="preserve">GSE95753 — “Transcriptome analysis of single cells from the mouse dentate gyrus” (verified via NCBI eUtils).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object:</w:t>
      </w:r>
      <w:r>
        <w:t xml:space="preserve"> </w:t>
      </w:r>
      <w:r>
        <w:rPr>
          <w:rStyle w:val="VerbatimChar"/>
        </w:rPr>
        <w:t xml:space="preserve">DentateGyrus.loom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Cells after loading:</w:t>
      </w:r>
      <w:r>
        <w:t xml:space="preserve"> </w:t>
      </w:r>
      <w:r>
        <w:t xml:space="preserve">18,213.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genes:</w:t>
      </w:r>
      <w:r>
        <w:t xml:space="preserve"> </w:t>
      </w:r>
      <w:r>
        <w:t xml:space="preserve">27,998.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Genes overlapping the main microglia universe (G = 17,714):</w:t>
      </w:r>
      <w:r>
        <w:t xml:space="preserve"> </w:t>
      </w:r>
      <w:r>
        <w:t xml:space="preserve">13,335 (75.3% of the main universe; 47.6% of the dentate-gyrus gene set).</w:t>
      </w:r>
    </w:p>
    <w:bookmarkEnd w:id="9"/>
    <w:bookmarkStart w:id="10" w:name="adaptations-and-declared-deviations"/>
    <w:p>
      <w:pPr>
        <w:pStyle w:val="Heading2"/>
      </w:pPr>
      <w:r>
        <w:t xml:space="preserve">Adaptations and declared deviations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Latent representation.</w:t>
      </w:r>
      <w:r>
        <w:t xml:space="preserve"> </w:t>
      </w:r>
      <w:r>
        <w:t xml:space="preserve">No curated scVI latent was available for this dataset. We used the first 10 principal components of a 30-component PCA computed on the spliced counts. This is a declared deviation from the main-atlas protocol.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prior.</w:t>
      </w:r>
      <w:r>
        <w:t xml:space="preserve"> </w:t>
      </w:r>
      <w:r>
        <w:t xml:space="preserve">We built W directly from the raw TRRUST v2 mouse database (458 transcription factors, 2,866 edges among the 13,335 shared genes). The resulting prior is far sparser than the main-atlas prior (2,866 versus 194,843 edges; 1.5% of the main-atlas edge count).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dimensions.</w:t>
      </w:r>
      <w:r>
        <w:t xml:space="preserve"> </w:t>
      </w:r>
      <w:r>
        <w:t xml:space="preserve">Propagation used N = 18,213 cells and G = 13,335 genes.</w:t>
      </w:r>
    </w:p>
    <w:bookmarkEnd w:id="10"/>
    <w:bookmarkStart w:id="11" w:name="l2-kinetic-fitting"/>
    <w:p>
      <w:pPr>
        <w:pStyle w:val="Heading2"/>
      </w:pPr>
      <w:r>
        <w:t xml:space="preserve">L2 kinetic fitting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4,914.3 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Peak GPU memory delta:</w:t>
      </w:r>
      <w:r>
        <w:t xml:space="preserve"> </w:t>
      </w:r>
      <w:r>
        <w:t xml:space="preserve">0.0 GB (the L2 routine in this configuration did not allocate additional GPU memory beyond baseline).</w:t>
      </w:r>
    </w:p>
    <w:p>
      <w:pPr>
        <w:pStyle w:val="Compact"/>
        <w:numPr>
          <w:ilvl w:val="0"/>
          <w:numId w:val="1003"/>
        </w:numPr>
      </w:pPr>
      <w:r>
        <w:t xml:space="preserve">The adaptive per-gene rate bound was applied in the same way as the main atlas.</w:t>
      </w:r>
    </w:p>
    <w:bookmarkEnd w:id="11"/>
    <w:bookmarkStart w:id="15" w:name="l3-propagation-results"/>
    <w:p>
      <w:pPr>
        <w:pStyle w:val="Heading2"/>
      </w:pPr>
      <w:r>
        <w:t xml:space="preserve">L3 propagation results</w:t>
      </w:r>
    </w:p>
    <w:bookmarkStart w:id="12" w:name="production-settings"/>
    <w:p>
      <w:pPr>
        <w:pStyle w:val="Heading3"/>
      </w:pPr>
      <w:r>
        <w:t xml:space="preserve">Production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iterations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22.0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GPU memory</w:t>
            </w:r>
          </w:p>
        </w:tc>
        <w:tc>
          <w:tcPr/>
          <w:p>
            <w:pPr>
              <w:pStyle w:val="Compact"/>
            </w:pPr>
            <w:r>
              <w:t xml:space="preserve">4.37 GB</w:t>
            </w:r>
          </w:p>
        </w:tc>
      </w:tr>
    </w:tbl>
    <w:bookmarkEnd w:id="12"/>
    <w:bookmarkStart w:id="13" w:name="tightened-reference"/>
    <w:p>
      <w:pPr>
        <w:pStyle w:val="Heading3"/>
      </w:pPr>
      <w:r>
        <w:t xml:space="preserve">Tightened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1e-6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iterations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68.61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GPU memory</w:t>
            </w:r>
          </w:p>
        </w:tc>
        <w:tc>
          <w:tcPr/>
          <w:p>
            <w:pPr>
              <w:pStyle w:val="Compact"/>
            </w:pPr>
            <w:r>
              <w:t xml:space="preserve">4.10 GB</w:t>
            </w:r>
          </w:p>
        </w:tc>
      </w:tr>
    </w:tbl>
    <w:p>
      <w:pPr>
        <w:pStyle w:val="BodyText"/>
      </w:pPr>
      <w:r>
        <w:t xml:space="preserve">The tightened reference required a red-line OOM retry: batch size 1,024 exceeded the 8 GB internal device ceiling (8.19 GB ≥ 8 GB), so the run was repeated at batch size 512. Batch size does not affect per-cell Picard propagation numerics, but the deviation is declared.</w:t>
      </w:r>
    </w:p>
    <w:bookmarkEnd w:id="13"/>
    <w:bookmarkStart w:id="14" w:name="residual-versus-tightened-reference"/>
    <w:p>
      <w:pPr>
        <w:pStyle w:val="Heading3"/>
      </w:pPr>
      <w:r>
        <w:t xml:space="preserve">Residual versus tightened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0.999999996</w:t>
            </w:r>
          </w:p>
        </w:tc>
      </w:tr>
    </w:tbl>
    <w:bookmarkEnd w:id="14"/>
    <w:bookmarkEnd w:id="15"/>
    <w:bookmarkStart w:id="16" w:name="cpucuda-cross-hardware-consistency"/>
    <w:p>
      <w:pPr>
        <w:pStyle w:val="Heading2"/>
      </w:pPr>
      <w:r>
        <w:t xml:space="preserve">CPU/CUDA cross-hardware consistency</w:t>
      </w:r>
    </w:p>
    <w:p>
      <w:pPr>
        <w:pStyle w:val="FirstParagraph"/>
      </w:pPr>
      <w:r>
        <w:t xml:space="preserve">Both CPU and CUDA runs used identical configurations (K = 10, tol = 1e-3, max_iter = 10, batch = 1,024). All 18 batches routed to the</w:t>
      </w:r>
      <w:r>
        <w:t xml:space="preserve"> </w:t>
      </w:r>
      <w:r>
        <w:rPr>
          <w:rStyle w:val="VerbatimChar"/>
        </w:rPr>
        <w:t xml:space="preserve">closed_form_foh</w:t>
      </w:r>
      <w:r>
        <w:t xml:space="preserve"> </w:t>
      </w:r>
      <w:r>
        <w:t xml:space="preserve">path on both devices, with zero route mismatches.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1.94e-6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0.999999999998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5,362 / 18,213 cells exceeded the 1e-3 relative-L2 line.</w:t>
      </w:r>
    </w:p>
    <w:p>
      <w:pPr>
        <w:pStyle w:val="Compact"/>
        <w:numPr>
          <w:ilvl w:val="0"/>
          <w:numId w:val="1004"/>
        </w:numPr>
      </w:pPr>
      <w:r>
        <w:t xml:space="preserve">507 / 18,213 cells exceeded the 1e-2 tail line.</w:t>
      </w:r>
    </w:p>
    <w:p>
      <w:pPr>
        <w:pStyle w:val="Compact"/>
        <w:numPr>
          <w:ilvl w:val="0"/>
          <w:numId w:val="1004"/>
        </w:numPr>
      </w:pPr>
      <w:r>
        <w:t xml:space="preserve">The worst cell (index 15,277) had relative-L2 = 3.13e-2 and cosine = 0.99961.</w:t>
      </w:r>
    </w:p>
    <w:bookmarkEnd w:id="16"/>
    <w:bookmarkStart w:id="17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CPU/CUDA deviation pattern on the dentate-gyrus dataset is consistent with the FP32 non-associativity tail observed on the main atlas (median ≈1e-4, max ≈3e-2, cosine minima ≈0.9996), not with a cross-dataset configuration bug. The L3 propagation therefore remained numerically disciplined under the alternate prior and latent representation.</w:t>
      </w:r>
    </w:p>
    <w:p>
      <w:pPr>
        <w:pStyle w:val="BodyText"/>
      </w:pPr>
      <w:r>
        <w:t xml:space="preserve">Because the TRRUST prior is much sparser and the latent representation differs,</w:t>
      </w:r>
      <w:r>
        <w:t xml:space="preserve"> </w:t>
      </w:r>
      <w:r>
        <w:rPr>
          <w:b/>
          <w:bCs/>
        </w:rPr>
        <w:t xml:space="preserve">absolute residual values in this arm are not directly comparable to the main-atlas audit</w:t>
      </w:r>
      <w:r>
        <w:t xml:space="preserve">. The transferable conclusion is that the validation disciplines—convergence, cross-hardware consistency and bounded sensitivity—hold on an independent dataset.</w:t>
      </w:r>
    </w:p>
    <w:bookmarkEnd w:id="17"/>
    <w:bookmarkStart w:id="18" w:name="source-files"/>
    <w:p>
      <w:pPr>
        <w:pStyle w:val="Heading2"/>
      </w:pPr>
      <w:r>
        <w:t xml:space="preserve">Source files</w:t>
      </w:r>
    </w:p>
    <w:p>
      <w:pPr>
        <w:pStyle w:val="Compact"/>
        <w:numPr>
          <w:ilvl w:val="0"/>
          <w:numId w:val="1005"/>
        </w:numPr>
      </w:pPr>
      <w:r>
        <w:t xml:space="preserve">Cross-dataset harness:</w:t>
      </w:r>
      <w:r>
        <w:t xml:space="preserve"> </w:t>
      </w:r>
      <w:r>
        <w:rPr>
          <w:rStyle w:val="VerbatimChar"/>
        </w:rPr>
        <w:t xml:space="preserve">B3_second_dataset_finalize.py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B3_second_dataset_continue.py</w:t>
      </w:r>
    </w:p>
    <w:p>
      <w:pPr>
        <w:pStyle w:val="Compact"/>
        <w:numPr>
          <w:ilvl w:val="0"/>
          <w:numId w:val="1005"/>
        </w:numPr>
      </w:pPr>
      <w:r>
        <w:t xml:space="preserve">Diagnosis:</w:t>
      </w:r>
      <w:r>
        <w:t xml:space="preserve"> </w:t>
      </w:r>
      <w:r>
        <w:rPr>
          <w:rStyle w:val="VerbatimChar"/>
        </w:rPr>
        <w:t xml:space="preserve">results/B3_dataset2/B3_diagnosis.md</w:t>
      </w:r>
    </w:p>
    <w:p>
      <w:pPr>
        <w:pStyle w:val="Compact"/>
        <w:numPr>
          <w:ilvl w:val="0"/>
          <w:numId w:val="1005"/>
        </w:numPr>
      </w:pPr>
      <w:r>
        <w:t xml:space="preserve">Raw result JSON:</w:t>
      </w:r>
      <w:r>
        <w:t xml:space="preserve"> </w:t>
      </w:r>
      <w:r>
        <w:rPr>
          <w:rStyle w:val="VerbatimChar"/>
        </w:rPr>
        <w:t xml:space="preserve">results/B3_dataset2/B3_result.json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2026-09-18T17:22:18Z</dcterms:created>
  <dcterms:modified xsi:type="dcterms:W3CDTF">2026-09-18T17:22:18Z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