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d68460237c174acd13cdd3ec1b6e9217ec2ba2d"/>
    <w:p>
      <w:pPr>
        <w:pStyle w:val="Heading1"/>
      </w:pPr>
      <w:r>
        <w:t xml:space="preserve">Supplementary Note SN-U4 — Per-cell stiffness diagnostic</w:t>
      </w:r>
    </w:p>
    <w:p>
      <w:pPr>
        <w:pStyle w:val="FirstParagraph"/>
      </w:pPr>
      <w:r>
        <w:t xml:space="preserve">This note documents the stiffness diagnostic mentioned in §3.1 and §4. The goal was to test whether the persistent upper tail of the production L3 residual was driven by locally stiff dynamics (i.e., cells where degradation and splicing terms are badly balanced relative to each other). The diagnostic did</w:t>
      </w:r>
      <w:r>
        <w:t xml:space="preserve"> </w:t>
      </w:r>
      <w:r>
        <w:rPr>
          <w:b/>
          <w:bCs/>
        </w:rPr>
        <w:t xml:space="preserve">not</w:t>
      </w:r>
      <w:r>
        <w:t xml:space="preserve"> </w:t>
      </w:r>
      <w:r>
        <w:t xml:space="preserve">resolve the tail after accounting for proximity to steady state.</w:t>
      </w:r>
    </w:p>
    <w:bookmarkStart w:id="9" w:name="estimator"/>
    <w:p>
      <w:pPr>
        <w:pStyle w:val="Heading2"/>
      </w:pPr>
      <w:r>
        <w:t xml:space="preserve">Estimator</w:t>
      </w:r>
    </w:p>
    <w:p>
      <w:pPr>
        <w:pStyle w:val="FirstParagraph"/>
      </w:pPr>
      <w:r>
        <w:t xml:space="preserve">For each cell, we computed the element-wise ratio</w:t>
      </w:r>
    </w:p>
    <w:p>
      <w:pPr>
        <w:pStyle w:val="BodyText"/>
      </w:pPr>
      <w:r>
        <w:t xml:space="preserve">[</w:t>
      </w:r>
      <w:r>
        <w:t xml:space="preserve"> </w:t>
      </w:r>
      <w:r>
        <w:t xml:space="preserve">r_i =</w:t>
      </w:r>
      <w:r>
        <w:t xml:space="preserve"> </w:t>
      </w:r>
      <w:r>
        <w:t xml:space="preserve"> </w:t>
      </w:r>
      <w:r>
        <w:t xml:space="preserve">]</w:t>
      </w:r>
    </w:p>
    <w:p>
      <w:pPr>
        <w:pStyle w:val="BodyText"/>
      </w:pPr>
      <w:r>
        <w:t xml:space="preserve">where β and γ are the per-gene kinetic rates from the L2 fit, and u_i and s_i are the unspliced and spliced moment vectors for cell i. A ratio far from 1 indicates an imbalance between the splicing influx and degradation efflux; ratios near 1 indicate proximity to a pseudo-steady-state balance.</w:t>
      </w:r>
    </w:p>
    <w:bookmarkEnd w:id="9"/>
    <w:bookmarkStart w:id="10" w:name="sample"/>
    <w:p>
      <w:pPr>
        <w:pStyle w:val="Heading2"/>
      </w:pPr>
      <w:r>
        <w:t xml:space="preserve">Sample</w:t>
      </w:r>
    </w:p>
    <w:p>
      <w:pPr>
        <w:pStyle w:val="Compact"/>
        <w:numPr>
          <w:ilvl w:val="0"/>
          <w:numId w:val="1001"/>
        </w:numPr>
      </w:pPr>
      <w:r>
        <w:t xml:space="preserve">N = 5,000 cells (subset of the main microglia atlas).</w:t>
      </w:r>
    </w:p>
    <w:p>
      <w:pPr>
        <w:pStyle w:val="Compact"/>
        <w:numPr>
          <w:ilvl w:val="0"/>
          <w:numId w:val="1001"/>
        </w:numPr>
      </w:pPr>
      <w:r>
        <w:t xml:space="preserve">G = 17,714 genes.</w:t>
      </w:r>
    </w:p>
    <w:bookmarkEnd w:id="10"/>
    <w:bookmarkStart w:id="11" w:name="overall-distribution"/>
    <w:p>
      <w:pPr>
        <w:pStyle w:val="Heading2"/>
      </w:pPr>
      <w:r>
        <w:t xml:space="preserve">Overall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jc w:val="right"/>
            </w:pPr>
            <w:r>
              <w:t xml:space="preserve">Ratio value</w:t>
            </w:r>
          </w:p>
        </w:tc>
      </w:tr>
      <w:tr>
        <w:tc>
          <w:tcPr/>
          <w:p>
            <w:pPr>
              <w:pStyle w:val="Compact"/>
            </w:pPr>
            <w:r>
              <w:t xml:space="preserve">Minimum</w:t>
            </w:r>
          </w:p>
        </w:tc>
        <w:tc>
          <w:tcPr/>
          <w:p>
            <w:pPr>
              <w:pStyle w:val="Compact"/>
              <w:jc w:val="right"/>
            </w:pPr>
            <w:r>
              <w:t xml:space="preserve">0.9916</w:t>
            </w:r>
          </w:p>
        </w:tc>
      </w:tr>
      <w:tr>
        <w:tc>
          <w:tcPr/>
          <w:p>
            <w:pPr>
              <w:pStyle w:val="Compact"/>
            </w:pPr>
            <w:r>
              <w:t xml:space="preserve">Median</w:t>
            </w:r>
          </w:p>
        </w:tc>
        <w:tc>
          <w:tcPr/>
          <w:p>
            <w:pPr>
              <w:pStyle w:val="Compact"/>
              <w:jc w:val="right"/>
            </w:pPr>
            <w:r>
              <w:t xml:space="preserve">1.0055</w:t>
            </w:r>
          </w:p>
        </w:tc>
      </w:tr>
      <w:tr>
        <w:tc>
          <w:tcPr/>
          <w:p>
            <w:pPr>
              <w:pStyle w:val="Compact"/>
            </w:pPr>
            <w:r>
              <w:t xml:space="preserve">Mean</w:t>
            </w:r>
          </w:p>
        </w:tc>
        <w:tc>
          <w:tcPr/>
          <w:p>
            <w:pPr>
              <w:pStyle w:val="Compact"/>
              <w:jc w:val="right"/>
            </w:pPr>
            <w:r>
              <w:t xml:space="preserve">1.0164</w:t>
            </w:r>
          </w:p>
        </w:tc>
      </w:tr>
      <w:tr>
        <w:tc>
          <w:tcPr/>
          <w:p>
            <w:pPr>
              <w:pStyle w:val="Compact"/>
            </w:pPr>
            <w:r>
              <w:t xml:space="preserve">P99</w:t>
            </w:r>
          </w:p>
        </w:tc>
        <w:tc>
          <w:tcPr/>
          <w:p>
            <w:pPr>
              <w:pStyle w:val="Compact"/>
              <w:jc w:val="right"/>
            </w:pPr>
            <w:r>
              <w:t xml:space="preserve">1.3388</w:t>
            </w:r>
          </w:p>
        </w:tc>
      </w:tr>
      <w:tr>
        <w:tc>
          <w:tcPr/>
          <w:p>
            <w:pPr>
              <w:pStyle w:val="Compact"/>
            </w:pPr>
            <w:r>
              <w:t xml:space="preserve">Maximum</w:t>
            </w:r>
          </w:p>
        </w:tc>
        <w:tc>
          <w:tcPr/>
          <w:p>
            <w:pPr>
              <w:pStyle w:val="Compact"/>
              <w:jc w:val="right"/>
            </w:pPr>
            <w:r>
              <w:t xml:space="preserve">1.5252</w:t>
            </w:r>
          </w:p>
        </w:tc>
      </w:tr>
    </w:tbl>
    <w:p>
      <w:pPr>
        <w:pStyle w:val="BodyText"/>
      </w:pPr>
      <w:r>
        <w:t xml:space="preserve">The bulk of cells lies very close to 1.0, with only a modest upper tail. The P99 ratio (1.34) is substantially smaller than the corresponding residual P99 (≈1e-2), suggesting that simple kinetic imbalance does not explain the residual tail.</w:t>
      </w:r>
    </w:p>
    <w:bookmarkEnd w:id="11"/>
    <w:bookmarkStart w:id="12" w:name="by-cell-state-annotation"/>
    <w:p>
      <w:pPr>
        <w:pStyle w:val="Heading2"/>
      </w:pPr>
      <w:r>
        <w:t xml:space="preserve">By cell-state annotation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jc w:val="right"/>
            </w:pPr>
            <w:r>
              <w:t xml:space="preserve">n</w:t>
            </w:r>
          </w:p>
        </w:tc>
        <w:tc>
          <w:tcPr/>
          <w:p>
            <w:pPr>
              <w:pStyle w:val="Compact"/>
              <w:jc w:val="right"/>
            </w:pPr>
            <w:r>
              <w:t xml:space="preserve">Median</w:t>
            </w:r>
          </w:p>
        </w:tc>
        <w:tc>
          <w:tcPr/>
          <w:p>
            <w:pPr>
              <w:pStyle w:val="Compact"/>
              <w:jc w:val="right"/>
            </w:pPr>
            <w:r>
              <w:t xml:space="preserve">Mean</w:t>
            </w:r>
          </w:p>
        </w:tc>
        <w:tc>
          <w:tcPr/>
          <w:p>
            <w:pPr>
              <w:pStyle w:val="Compact"/>
              <w:jc w:val="right"/>
            </w:pPr>
            <w:r>
              <w:t xml:space="preserve">P99</w:t>
            </w:r>
          </w:p>
        </w:tc>
        <w:tc>
          <w:tcPr/>
          <w:p>
            <w:pPr>
              <w:pStyle w:val="Compact"/>
              <w:jc w:val="right"/>
            </w:pPr>
            <w:r>
              <w:t xml:space="preserve">Maximum</w:t>
            </w:r>
          </w:p>
        </w:tc>
      </w:tr>
      <w:tr>
        <w:tc>
          <w:tcPr/>
          <w:p>
            <w:pPr>
              <w:pStyle w:val="Compact"/>
            </w:pPr>
            <w:r>
              <w:t xml:space="preserve">C1q_inflammatory</w:t>
            </w:r>
          </w:p>
        </w:tc>
        <w:tc>
          <w:tcPr/>
          <w:p>
            <w:pPr>
              <w:pStyle w:val="Compact"/>
              <w:jc w:val="right"/>
            </w:pPr>
            <w:r>
              <w:t xml:space="preserve">942</w:t>
            </w:r>
          </w:p>
        </w:tc>
        <w:tc>
          <w:tcPr/>
          <w:p>
            <w:pPr>
              <w:pStyle w:val="Compact"/>
              <w:jc w:val="right"/>
            </w:pPr>
            <w:r>
              <w:t xml:space="preserve">1.0054</w:t>
            </w:r>
          </w:p>
        </w:tc>
        <w:tc>
          <w:tcPr/>
          <w:p>
            <w:pPr>
              <w:pStyle w:val="Compact"/>
              <w:jc w:val="right"/>
            </w:pPr>
            <w:r>
              <w:t xml:space="preserve">1.0150</w:t>
            </w:r>
          </w:p>
        </w:tc>
        <w:tc>
          <w:tcPr/>
          <w:p>
            <w:pPr>
              <w:pStyle w:val="Compact"/>
              <w:jc w:val="right"/>
            </w:pPr>
            <w:r>
              <w:t xml:space="preserve">1.2475</w:t>
            </w:r>
          </w:p>
        </w:tc>
        <w:tc>
          <w:tcPr/>
          <w:p>
            <w:pPr>
              <w:pStyle w:val="Compact"/>
              <w:jc w:val="right"/>
            </w:pPr>
            <w:r>
              <w:t xml:space="preserve">1.5017</w:t>
            </w:r>
          </w:p>
        </w:tc>
      </w:tr>
      <w:tr>
        <w:tc>
          <w:tcPr/>
          <w:p>
            <w:pPr>
              <w:pStyle w:val="Compact"/>
            </w:pPr>
            <w:r>
              <w:t xml:space="preserve">DAM_like</w:t>
            </w:r>
          </w:p>
        </w:tc>
        <w:tc>
          <w:tcPr/>
          <w:p>
            <w:pPr>
              <w:pStyle w:val="Compact"/>
              <w:jc w:val="right"/>
            </w:pPr>
            <w:r>
              <w:t xml:space="preserve">462</w:t>
            </w:r>
          </w:p>
        </w:tc>
        <w:tc>
          <w:tcPr/>
          <w:p>
            <w:pPr>
              <w:pStyle w:val="Compact"/>
              <w:jc w:val="right"/>
            </w:pPr>
            <w:r>
              <w:t xml:space="preserve">1.0050</w:t>
            </w:r>
          </w:p>
        </w:tc>
        <w:tc>
          <w:tcPr/>
          <w:p>
            <w:pPr>
              <w:pStyle w:val="Compact"/>
              <w:jc w:val="right"/>
            </w:pPr>
            <w:r>
              <w:t xml:space="preserve">1.0154</w:t>
            </w:r>
          </w:p>
        </w:tc>
        <w:tc>
          <w:tcPr/>
          <w:p>
            <w:pPr>
              <w:pStyle w:val="Compact"/>
              <w:jc w:val="right"/>
            </w:pPr>
            <w:r>
              <w:t xml:space="preserve">1.3262</w:t>
            </w:r>
          </w:p>
        </w:tc>
        <w:tc>
          <w:tcPr/>
          <w:p>
            <w:pPr>
              <w:pStyle w:val="Compact"/>
              <w:jc w:val="right"/>
            </w:pPr>
            <w:r>
              <w:t xml:space="preserve">1.4353</w:t>
            </w:r>
          </w:p>
        </w:tc>
      </w:tr>
      <w:tr>
        <w:tc>
          <w:tcPr/>
          <w:p>
            <w:pPr>
              <w:pStyle w:val="Compact"/>
            </w:pPr>
            <w:r>
              <w:t xml:space="preserve">Homeostatic</w:t>
            </w:r>
          </w:p>
        </w:tc>
        <w:tc>
          <w:tcPr/>
          <w:p>
            <w:pPr>
              <w:pStyle w:val="Compact"/>
              <w:jc w:val="right"/>
            </w:pPr>
            <w:r>
              <w:t xml:space="preserve">1,794</w:t>
            </w:r>
          </w:p>
        </w:tc>
        <w:tc>
          <w:tcPr/>
          <w:p>
            <w:pPr>
              <w:pStyle w:val="Compact"/>
              <w:jc w:val="right"/>
            </w:pPr>
            <w:r>
              <w:t xml:space="preserve">1.0057</w:t>
            </w:r>
          </w:p>
        </w:tc>
        <w:tc>
          <w:tcPr/>
          <w:p>
            <w:pPr>
              <w:pStyle w:val="Compact"/>
              <w:jc w:val="right"/>
            </w:pPr>
            <w:r>
              <w:t xml:space="preserve">1.0125</w:t>
            </w:r>
          </w:p>
        </w:tc>
        <w:tc>
          <w:tcPr/>
          <w:p>
            <w:pPr>
              <w:pStyle w:val="Compact"/>
              <w:jc w:val="right"/>
            </w:pPr>
            <w:r>
              <w:t xml:space="preserve">1.1547</w:t>
            </w:r>
          </w:p>
        </w:tc>
        <w:tc>
          <w:tcPr/>
          <w:p>
            <w:pPr>
              <w:pStyle w:val="Compact"/>
              <w:jc w:val="right"/>
            </w:pPr>
            <w:r>
              <w:t xml:space="preserve">1.5252</w:t>
            </w:r>
          </w:p>
        </w:tc>
      </w:tr>
      <w:tr>
        <w:tc>
          <w:tcPr/>
          <w:p>
            <w:pPr>
              <w:pStyle w:val="Compact"/>
            </w:pPr>
            <w:r>
              <w:t xml:space="preserve">IFN_responsive</w:t>
            </w:r>
          </w:p>
        </w:tc>
        <w:tc>
          <w:tcPr/>
          <w:p>
            <w:pPr>
              <w:pStyle w:val="Compact"/>
              <w:jc w:val="right"/>
            </w:pPr>
            <w:r>
              <w:t xml:space="preserve">1,393</w:t>
            </w:r>
          </w:p>
        </w:tc>
        <w:tc>
          <w:tcPr/>
          <w:p>
            <w:pPr>
              <w:pStyle w:val="Compact"/>
              <w:jc w:val="right"/>
            </w:pPr>
            <w:r>
              <w:t xml:space="preserve">1.0057</w:t>
            </w:r>
          </w:p>
        </w:tc>
        <w:tc>
          <w:tcPr/>
          <w:p>
            <w:pPr>
              <w:pStyle w:val="Compact"/>
              <w:jc w:val="right"/>
            </w:pPr>
            <w:r>
              <w:t xml:space="preserve">1.0220</w:t>
            </w:r>
          </w:p>
        </w:tc>
        <w:tc>
          <w:tcPr/>
          <w:p>
            <w:pPr>
              <w:pStyle w:val="Compact"/>
              <w:jc w:val="right"/>
            </w:pPr>
            <w:r>
              <w:t xml:space="preserve">1.3641</w:t>
            </w:r>
          </w:p>
        </w:tc>
        <w:tc>
          <w:tcPr/>
          <w:p>
            <w:pPr>
              <w:pStyle w:val="Compact"/>
              <w:jc w:val="right"/>
            </w:pPr>
            <w:r>
              <w:t xml:space="preserve">1.4931</w:t>
            </w:r>
          </w:p>
        </w:tc>
      </w:tr>
      <w:tr>
        <w:tc>
          <w:tcPr/>
          <w:p>
            <w:pPr>
              <w:pStyle w:val="Compact"/>
            </w:pPr>
            <w:r>
              <w:t xml:space="preserve">PU1low_lymphoid</w:t>
            </w:r>
          </w:p>
        </w:tc>
        <w:tc>
          <w:tcPr/>
          <w:p>
            <w:pPr>
              <w:pStyle w:val="Compact"/>
              <w:jc w:val="right"/>
            </w:pPr>
            <w:r>
              <w:t xml:space="preserve">359</w:t>
            </w:r>
          </w:p>
        </w:tc>
        <w:tc>
          <w:tcPr/>
          <w:p>
            <w:pPr>
              <w:pStyle w:val="Compact"/>
              <w:jc w:val="right"/>
            </w:pPr>
            <w:r>
              <w:t xml:space="preserve">1.0049</w:t>
            </w:r>
          </w:p>
        </w:tc>
        <w:tc>
          <w:tcPr/>
          <w:p>
            <w:pPr>
              <w:pStyle w:val="Compact"/>
              <w:jc w:val="right"/>
            </w:pPr>
            <w:r>
              <w:t xml:space="preserve">1.0181</w:t>
            </w:r>
          </w:p>
        </w:tc>
        <w:tc>
          <w:tcPr/>
          <w:p>
            <w:pPr>
              <w:pStyle w:val="Compact"/>
              <w:jc w:val="right"/>
            </w:pPr>
            <w:r>
              <w:t xml:space="preserve">1.3868</w:t>
            </w:r>
          </w:p>
        </w:tc>
        <w:tc>
          <w:tcPr/>
          <w:p>
            <w:pPr>
              <w:pStyle w:val="Compact"/>
              <w:jc w:val="right"/>
            </w:pPr>
            <w:r>
              <w:t xml:space="preserve">1.4867</w:t>
            </w:r>
          </w:p>
        </w:tc>
      </w:tr>
      <w:tr>
        <w:tc>
          <w:tcPr/>
          <w:p>
            <w:pPr>
              <w:pStyle w:val="Compact"/>
            </w:pPr>
            <w:r>
              <w:t xml:space="preserve">Proliferating</w:t>
            </w:r>
          </w:p>
        </w:tc>
        <w:tc>
          <w:tcPr/>
          <w:p>
            <w:pPr>
              <w:pStyle w:val="Compact"/>
              <w:jc w:val="right"/>
            </w:pPr>
            <w:r>
              <w:t xml:space="preserve">50</w:t>
            </w:r>
          </w:p>
        </w:tc>
        <w:tc>
          <w:tcPr/>
          <w:p>
            <w:pPr>
              <w:pStyle w:val="Compact"/>
              <w:jc w:val="right"/>
            </w:pPr>
            <w:r>
              <w:t xml:space="preserve">1.0104</w:t>
            </w:r>
          </w:p>
        </w:tc>
        <w:tc>
          <w:tcPr/>
          <w:p>
            <w:pPr>
              <w:pStyle w:val="Compact"/>
              <w:jc w:val="right"/>
            </w:pPr>
            <w:r>
              <w:t xml:space="preserve">1.0301</w:t>
            </w:r>
          </w:p>
        </w:tc>
        <w:tc>
          <w:tcPr/>
          <w:p>
            <w:pPr>
              <w:pStyle w:val="Compact"/>
              <w:jc w:val="right"/>
            </w:pPr>
            <w:r>
              <w:t xml:space="preserve">1.3677</w:t>
            </w:r>
          </w:p>
        </w:tc>
        <w:tc>
          <w:tcPr/>
          <w:p>
            <w:pPr>
              <w:pStyle w:val="Compact"/>
              <w:jc w:val="right"/>
            </w:pPr>
            <w:r>
              <w:t xml:space="preserve">1.4141</w:t>
            </w:r>
          </w:p>
        </w:tc>
      </w:tr>
    </w:tbl>
    <w:p>
      <w:pPr>
        <w:pStyle w:val="BodyText"/>
      </w:pPr>
      <w:r>
        <w:t xml:space="preserve">No state showed a dramatically shifted ratio distribution. In particular, the C1q_inflammatory state, which was enriched in the top-1% residual tail (Fig. 5), had a stiffness profile comparable to other states.</w:t>
      </w:r>
    </w:p>
    <w:bookmarkEnd w:id="12"/>
    <w:bookmarkStart w:id="13" w:name="approximate-jacobian-condition-number"/>
    <w:p>
      <w:pPr>
        <w:pStyle w:val="Heading2"/>
      </w:pPr>
      <w:r>
        <w:t xml:space="preserve">Approximate Jacobian condition number</w:t>
      </w:r>
    </w:p>
    <w:p>
      <w:pPr>
        <w:pStyle w:val="FirstParagraph"/>
      </w:pPr>
      <w:r>
        <w:t xml:space="preserve">We also computed an approximate condition number of the L3 Jacobian via one-sided singular-value probing (</w:t>
      </w:r>
      <w:r>
        <w:rPr>
          <w:rStyle w:val="VerbatimChar"/>
        </w:rPr>
        <w:t xml:space="preserve">scipy.sparse.linalg.svds(k=1)</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jc w:val="right"/>
            </w:pPr>
            <w:r>
              <w:t xml:space="preserve">Value</w:t>
            </w:r>
          </w:p>
        </w:tc>
      </w:tr>
      <w:tr>
        <w:tc>
          <w:tcPr/>
          <w:p>
            <w:pPr>
              <w:pStyle w:val="Compact"/>
            </w:pPr>
            <w:r>
              <w:t xml:space="preserve">σ_max</w:t>
            </w:r>
          </w:p>
        </w:tc>
        <w:tc>
          <w:tcPr/>
          <w:p>
            <w:pPr>
              <w:pStyle w:val="Compact"/>
              <w:jc w:val="right"/>
            </w:pPr>
            <w:r>
              <w:t xml:space="preserve">196.10</w:t>
            </w:r>
          </w:p>
        </w:tc>
      </w:tr>
      <w:tr>
        <w:tc>
          <w:tcPr/>
          <w:p>
            <w:pPr>
              <w:pStyle w:val="Compact"/>
            </w:pPr>
            <w:r>
              <w:t xml:space="preserve">σ_min</w:t>
            </w:r>
          </w:p>
        </w:tc>
        <w:tc>
          <w:tcPr/>
          <w:p>
            <w:pPr>
              <w:pStyle w:val="Compact"/>
              <w:jc w:val="right"/>
            </w:pPr>
            <w:r>
              <w:t xml:space="preserve">0.06428</w:t>
            </w:r>
          </w:p>
        </w:tc>
      </w:tr>
      <w:tr>
        <w:tc>
          <w:tcPr/>
          <w:p>
            <w:pPr>
              <w:pStyle w:val="Compact"/>
            </w:pPr>
            <w:r>
              <w:t xml:space="preserve">Condition number κ(J)</w:t>
            </w:r>
          </w:p>
        </w:tc>
        <w:tc>
          <w:tcPr/>
          <w:p>
            <w:pPr>
              <w:pStyle w:val="Compact"/>
              <w:jc w:val="right"/>
            </w:pPr>
            <w:r>
              <w:t xml:space="preserve">3,050.73</w:t>
            </w:r>
          </w:p>
        </w:tc>
      </w:tr>
      <w:tr>
        <w:tc>
          <w:tcPr/>
          <w:p>
            <w:pPr>
              <w:pStyle w:val="Compact"/>
            </w:pPr>
            <w:r>
              <w:t xml:space="preserve">Compute time</w:t>
            </w:r>
          </w:p>
        </w:tc>
        <w:tc>
          <w:tcPr/>
          <w:p>
            <w:pPr>
              <w:pStyle w:val="Compact"/>
              <w:jc w:val="right"/>
            </w:pPr>
            <w:r>
              <w:t xml:space="preserve">23.9 s</w:t>
            </w:r>
          </w:p>
        </w:tc>
      </w:tr>
    </w:tbl>
    <w:p>
      <w:pPr>
        <w:pStyle w:val="BodyText"/>
      </w:pPr>
      <w:r>
        <w:t xml:space="preserve">This condition number is moderate and does not indicate globally ill-conditioned dynamics.</w:t>
      </w:r>
    </w:p>
    <w:bookmarkEnd w:id="13"/>
    <w:bookmarkStart w:id="14" w:name="conclusion"/>
    <w:p>
      <w:pPr>
        <w:pStyle w:val="Heading2"/>
      </w:pPr>
      <w:r>
        <w:t xml:space="preserve">Conclusion</w:t>
      </w:r>
    </w:p>
    <w:p>
      <w:pPr>
        <w:pStyle w:val="FirstParagraph"/>
      </w:pPr>
      <w:r>
        <w:t xml:space="preserve">Neither the per-cell stiffness ratio nor the approximate Jacobian condition number explains the state-structured residual tail. The tail is therefore provisionally attributed to unresolved numerical sensitivity (possibly FP32 accumulation patterns or local non-linearity in specific cells) rather than to a simple stiffness imbalance. This is recorded as an open caveat in §4.</w:t>
      </w:r>
    </w:p>
    <w:bookmarkEnd w:id="14"/>
    <w:bookmarkStart w:id="15" w:name="note-on-main-text-use"/>
    <w:p>
      <w:pPr>
        <w:pStyle w:val="Heading2"/>
      </w:pPr>
      <w:r>
        <w:t xml:space="preserve">Note on main-text use</w:t>
      </w:r>
    </w:p>
    <w:p>
      <w:pPr>
        <w:pStyle w:val="FirstParagraph"/>
      </w:pPr>
      <w:r>
        <w:t xml:space="preserve">The numeric values in this note (ratios and κ(J)) are provided for transparency only. They were deliberately excluded from the main text because they do not resolve the tail mechanism; the main text reports only the qualitative conclusion that the diagnostic did not explain the tail.</w:t>
      </w:r>
    </w:p>
    <w:bookmarkEnd w:id="15"/>
    <w:bookmarkStart w:id="16" w:name="source-file"/>
    <w:p>
      <w:pPr>
        <w:pStyle w:val="Heading2"/>
      </w:pPr>
      <w:r>
        <w:t xml:space="preserve">Source file</w:t>
      </w:r>
    </w:p>
    <w:p>
      <w:pPr>
        <w:pStyle w:val="Compact"/>
        <w:numPr>
          <w:ilvl w:val="0"/>
          <w:numId w:val="1002"/>
        </w:numPr>
      </w:pPr>
      <w:r>
        <w:t xml:space="preserve">Raw result JSON:</w:t>
      </w:r>
      <w:r>
        <w:t xml:space="preserve"> </w:t>
      </w:r>
      <w:r>
        <w:rPr>
          <w:rStyle w:val="VerbatimChar"/>
        </w:rPr>
        <w:t xml:space="preserve">results/U4_diagnostic_result.json</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2026-09-18T17:22:18Z</dcterms:created>
  <dcterms:modified xsi:type="dcterms:W3CDTF">2026-09-18T17:22:18Z</dcterms:modified>
</cp:coreProperties>
</file>

<file path=docProps/custom.xml><?xml version="1.0" encoding="utf-8"?>
<Properties xmlns="http://schemas.openxmlformats.org/officeDocument/2006/custom-properties" xmlns:vt="http://schemas.openxmlformats.org/officeDocument/2006/docPropsVTypes"/>
</file>