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Sample Global Equity Fund — Manager Commentary, Q3 2026</w:t>
      </w:r>
    </w:p>
    <w:p>
      <w:r>
        <w:rPr>
          <w:i/>
          <w:sz w:val="22"/>
        </w:rPr>
        <w:t>FICTIONAL DOCUMENT — created for software testing only. Not a real fund.</w:t>
      </w:r>
    </w:p>
    <w:p>
      <w:pPr>
        <w:pStyle w:val="Heading2"/>
      </w:pPr>
      <w:r>
        <w:rPr>
          <w:sz w:val="22"/>
        </w:rPr>
        <w:t>Market review</w:t>
      </w:r>
    </w:p>
    <w:p>
      <w:r>
        <w:rPr>
          <w:sz w:val="22"/>
        </w:rPr>
        <w:t>Global equities were volatile in the third quarter. Large technology companies led again, helped by strong demand for AI chips and cloud services, while energy shares fell as oil prices weakened. Interest-rate expectations moved several times, which hurt banks and insurers late in the quarter.</w:t>
      </w:r>
    </w:p>
    <w:p>
      <w:pPr>
        <w:pStyle w:val="Heading2"/>
      </w:pPr>
      <w:r>
        <w:rPr>
          <w:sz w:val="22"/>
        </w:rPr>
        <w:t>Portfolio activity</w:t>
      </w:r>
    </w:p>
    <w:p>
      <w:r>
        <w:rPr>
          <w:sz w:val="22"/>
        </w:rPr>
        <w:t>We added to semiconductors, mainly Northwind Semiconductors, and trimmed our position in Litware Bank. We reduced energy further and kept the fund's quality-growth tilt. We did not change the overall level of risk.</w:t>
      </w:r>
    </w:p>
    <w:p>
      <w:pPr>
        <w:pStyle w:val="Heading2"/>
      </w:pPr>
      <w:r>
        <w:rPr>
          <w:sz w:val="22"/>
        </w:rPr>
        <w:t>What helped and what hurt</w:t>
      </w:r>
    </w:p>
    <w:p>
      <w:r>
        <w:rPr>
          <w:sz w:val="22"/>
        </w:rPr>
        <w:t>Northwind Semiconductors and Contoso Software were the largest positive contributors. Our underweight in energy also helped. Stock selection in financials, especially Litware Bank, held back returns, and our utilities holdings lagged.</w:t>
      </w:r>
    </w:p>
    <w:p>
      <w:pPr>
        <w:pStyle w:val="Heading2"/>
      </w:pPr>
      <w:r>
        <w:rPr>
          <w:sz w:val="22"/>
        </w:rPr>
        <w:t>Why the fund lagged over 12 months</w:t>
      </w:r>
    </w:p>
    <w:p>
      <w:r>
        <w:rPr>
          <w:sz w:val="22"/>
        </w:rPr>
        <w:t>The fund has trailed its benchmark over the past year. Our holdings fell further than the market in the sharp sell-off in early 2026, because quality-growth companies were hit hardest when bond yields rose. We have kept our positions, as we believe the companies' long-term prospects are unchanged.</w:t>
      </w:r>
    </w:p>
    <w:p>
      <w:pPr>
        <w:pStyle w:val="Heading2"/>
      </w:pPr>
      <w:r>
        <w:rPr>
          <w:sz w:val="22"/>
        </w:rPr>
        <w:t>Outlook</w:t>
      </w:r>
    </w:p>
    <w:p>
      <w:r>
        <w:rPr>
          <w:sz w:val="22"/>
        </w:rPr>
        <w:t>We remain cautious. Valuations in technology are high, and a slower economy could weigh on earnings. We are watching interest rates, the strength of AI-related spending and the concentration of the portfolio in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