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9"/>
          <w:sz w:val="56"/>
        </w:rPr>
        <w:t>FINTRUST DIGITAL BANK</w:t>
      </w:r>
    </w:p>
    <w:p>
      <w:pPr>
        <w:jc w:val="center"/>
      </w:pPr>
      <w:r>
        <w:rPr>
          <w:rFonts w:ascii="Arial" w:hAnsi="Arial"/>
          <w:b/>
          <w:color w:val="2E5F97"/>
          <w:sz w:val="36"/>
        </w:rPr>
        <w:t>Final Business Intelligence &amp; Dashboard Solution</w:t>
      </w:r>
    </w:p>
    <w:p>
      <w:pPr>
        <w:jc w:val="center"/>
      </w:pPr>
      <w:r>
        <w:rPr>
          <w:rFonts w:ascii="Arial" w:hAnsi="Arial"/>
          <w:b/>
          <w:color w:val="232323"/>
          <w:sz w:val="26"/>
        </w:rPr>
        <w:t>Week 4 Final Project Report – Data Analytics Track</w:t>
      </w:r>
    </w:p>
    <w:tbl>
      <w:tblPr>
        <w:tblW w:type="auto" w:w="0"/>
        <w:jc w:val="center"/>
        <w:tblLook w:firstColumn="1" w:firstRow="1" w:lastColumn="0" w:lastRow="0" w:noHBand="0" w:noVBand="1" w:val="04A0"/>
      </w:tblPr>
      <w:tblGrid>
        <w:gridCol w:w="10080"/>
      </w:tblGrid>
      <w:tr>
        <w:trPr>
          <w:trHeight w:val="100"/>
        </w:trPr>
        <w:tc>
          <w:tcPr>
            <w:tcW w:type="dxa" w:w="8352"/>
            <w:shd w:fill="1F4E79"/>
          </w:tcPr>
          <w:p>
            <w:r/>
          </w:p>
        </w:tc>
      </w:tr>
    </w:tbl>
    <w:p/>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100" w:type="dxa"/>
              <w:start w:w="120" w:type="dxa"/>
              <w:bottom w:w="100" w:type="dxa"/>
              <w:end w:w="120" w:type="dxa"/>
            </w:tcMar>
          </w:tcPr>
          <w:p>
            <w:r>
              <w:rPr>
                <w:rFonts w:ascii="Arial" w:hAnsi="Arial"/>
                <w:b/>
                <w:sz w:val="19"/>
              </w:rPr>
              <w:t>Prepared by</w:t>
            </w:r>
          </w:p>
        </w:tc>
        <w:tc>
          <w:tcPr>
            <w:tcW w:type="dxa" w:w="5040"/>
            <w:tcMar>
              <w:top w:w="100" w:type="dxa"/>
              <w:start w:w="120" w:type="dxa"/>
              <w:bottom w:w="100" w:type="dxa"/>
              <w:end w:w="120" w:type="dxa"/>
            </w:tcMar>
          </w:tcPr>
          <w:p>
            <w:r>
              <w:rPr>
                <w:rFonts w:ascii="Arial" w:hAnsi="Arial"/>
                <w:sz w:val="19"/>
              </w:rPr>
              <w:t>Eric Kamau</w:t>
            </w:r>
          </w:p>
        </w:tc>
      </w:tr>
      <w:tr>
        <w:tc>
          <w:tcPr>
            <w:tcW w:type="dxa" w:w="5040"/>
            <w:shd w:fill="D9EAF7"/>
            <w:tcMar>
              <w:top w:w="100" w:type="dxa"/>
              <w:start w:w="120" w:type="dxa"/>
              <w:bottom w:w="100" w:type="dxa"/>
              <w:end w:w="120" w:type="dxa"/>
            </w:tcMar>
          </w:tcPr>
          <w:p>
            <w:r>
              <w:rPr>
                <w:rFonts w:ascii="Arial" w:hAnsi="Arial"/>
                <w:b/>
                <w:sz w:val="19"/>
              </w:rPr>
              <w:t>Programme</w:t>
            </w:r>
          </w:p>
        </w:tc>
        <w:tc>
          <w:tcPr>
            <w:tcW w:type="dxa" w:w="5040"/>
            <w:tcMar>
              <w:top w:w="100" w:type="dxa"/>
              <w:start w:w="120" w:type="dxa"/>
              <w:bottom w:w="100" w:type="dxa"/>
              <w:end w:w="120" w:type="dxa"/>
            </w:tcMar>
          </w:tcPr>
          <w:p>
            <w:r>
              <w:rPr>
                <w:rFonts w:ascii="Arial" w:hAnsi="Arial"/>
                <w:sz w:val="19"/>
              </w:rPr>
              <w:t>AnalystLab Africa – Experience Lab Internship Programme</w:t>
            </w:r>
          </w:p>
        </w:tc>
      </w:tr>
      <w:tr>
        <w:tc>
          <w:tcPr>
            <w:tcW w:type="dxa" w:w="5040"/>
            <w:shd w:fill="D9EAF7"/>
            <w:tcMar>
              <w:top w:w="100" w:type="dxa"/>
              <w:start w:w="120" w:type="dxa"/>
              <w:bottom w:w="100" w:type="dxa"/>
              <w:end w:w="120" w:type="dxa"/>
            </w:tcMar>
          </w:tcPr>
          <w:p>
            <w:r>
              <w:rPr>
                <w:rFonts w:ascii="Arial" w:hAnsi="Arial"/>
                <w:b/>
                <w:sz w:val="19"/>
              </w:rPr>
              <w:t>Project stage</w:t>
            </w:r>
          </w:p>
        </w:tc>
        <w:tc>
          <w:tcPr>
            <w:tcW w:type="dxa" w:w="5040"/>
            <w:tcMar>
              <w:top w:w="100" w:type="dxa"/>
              <w:start w:w="120" w:type="dxa"/>
              <w:bottom w:w="100" w:type="dxa"/>
              <w:end w:w="120" w:type="dxa"/>
            </w:tcMar>
          </w:tcPr>
          <w:p>
            <w:r>
              <w:rPr>
                <w:rFonts w:ascii="Arial" w:hAnsi="Arial"/>
                <w:sz w:val="19"/>
              </w:rPr>
              <w:t>Week 4 – Test, Refine &amp; Present</w:t>
            </w:r>
          </w:p>
        </w:tc>
      </w:tr>
      <w:tr>
        <w:tc>
          <w:tcPr>
            <w:tcW w:type="dxa" w:w="5040"/>
            <w:shd w:fill="D9EAF7"/>
            <w:tcMar>
              <w:top w:w="100" w:type="dxa"/>
              <w:start w:w="120" w:type="dxa"/>
              <w:bottom w:w="100" w:type="dxa"/>
              <w:end w:w="120" w:type="dxa"/>
            </w:tcMar>
          </w:tcPr>
          <w:p>
            <w:r>
              <w:rPr>
                <w:rFonts w:ascii="Arial" w:hAnsi="Arial"/>
                <w:b/>
                <w:sz w:val="19"/>
              </w:rPr>
              <w:t>Date</w:t>
            </w:r>
          </w:p>
        </w:tc>
        <w:tc>
          <w:tcPr>
            <w:tcW w:type="dxa" w:w="5040"/>
            <w:tcMar>
              <w:top w:w="100" w:type="dxa"/>
              <w:start w:w="120" w:type="dxa"/>
              <w:bottom w:w="100" w:type="dxa"/>
              <w:end w:w="120" w:type="dxa"/>
            </w:tcMar>
          </w:tcPr>
          <w:p>
            <w:r>
              <w:rPr>
                <w:rFonts w:ascii="Arial" w:hAnsi="Arial"/>
                <w:sz w:val="19"/>
              </w:rPr>
              <w:t>October 2026</w:t>
            </w:r>
          </w:p>
        </w:tc>
      </w:tr>
    </w:tbl>
    <w:p/>
    <w:p>
      <w:pPr>
        <w:pStyle w:val="ReportCaption"/>
        <w:jc w:val="center"/>
      </w:pPr>
      <w:r>
        <w:t>Final-stage focus: Test → Validate → Refine → Finalize → Present</w:t>
      </w:r>
    </w:p>
    <w:p>
      <w:r>
        <w:br w:type="page"/>
      </w:r>
    </w:p>
    <w:p>
      <w:pPr>
        <w:pStyle w:val="Heading1"/>
        <w:keepNext/>
      </w:pPr>
      <w:r>
        <w:t>Report Structure</w:t>
      </w:r>
    </w:p>
    <w:p>
      <w:pPr>
        <w:pStyle w:val="ListNumber"/>
        <w:spacing w:after="60"/>
      </w:pPr>
      <w:r>
        <w:rPr>
          <w:rFonts w:ascii="Arial" w:hAnsi="Arial"/>
          <w:sz w:val="20"/>
        </w:rPr>
        <w:t>Executive Summary</w:t>
      </w:r>
    </w:p>
    <w:p>
      <w:pPr>
        <w:pStyle w:val="ListNumber"/>
        <w:spacing w:after="60"/>
      </w:pPr>
      <w:r>
        <w:rPr>
          <w:rFonts w:ascii="Arial" w:hAnsi="Arial"/>
          <w:sz w:val="20"/>
        </w:rPr>
        <w:t>Project Background and Business Objective</w:t>
      </w:r>
    </w:p>
    <w:p>
      <w:pPr>
        <w:pStyle w:val="ListNumber"/>
        <w:spacing w:after="60"/>
      </w:pPr>
      <w:r>
        <w:rPr>
          <w:rFonts w:ascii="Arial" w:hAnsi="Arial"/>
          <w:sz w:val="20"/>
        </w:rPr>
        <w:t>Data Sources and Final Data Quality Status</w:t>
      </w:r>
    </w:p>
    <w:p>
      <w:pPr>
        <w:pStyle w:val="ListNumber"/>
        <w:spacing w:after="60"/>
      </w:pPr>
      <w:r>
        <w:rPr>
          <w:rFonts w:ascii="Arial" w:hAnsi="Arial"/>
          <w:sz w:val="20"/>
        </w:rPr>
        <w:t>Analytical Approach and Tools</w:t>
      </w:r>
    </w:p>
    <w:p>
      <w:pPr>
        <w:pStyle w:val="ListNumber"/>
        <w:spacing w:after="60"/>
      </w:pPr>
      <w:r>
        <w:rPr>
          <w:rFonts w:ascii="Arial" w:hAnsi="Arial"/>
          <w:sz w:val="20"/>
        </w:rPr>
        <w:t>Weeks 1–3 Foundation and Week 4 Refinement</w:t>
      </w:r>
    </w:p>
    <w:p>
      <w:pPr>
        <w:pStyle w:val="ListNumber"/>
        <w:spacing w:after="60"/>
      </w:pPr>
      <w:r>
        <w:rPr>
          <w:rFonts w:ascii="Arial" w:hAnsi="Arial"/>
          <w:sz w:val="20"/>
        </w:rPr>
        <w:t>Final SQL Analysis</w:t>
      </w:r>
    </w:p>
    <w:p>
      <w:pPr>
        <w:pStyle w:val="ListNumber"/>
        <w:spacing w:after="60"/>
      </w:pPr>
      <w:r>
        <w:rPr>
          <w:rFonts w:ascii="Arial" w:hAnsi="Arial"/>
          <w:sz w:val="20"/>
        </w:rPr>
        <w:t>Final Python Analysis and Reproducibility Review</w:t>
      </w:r>
    </w:p>
    <w:p>
      <w:pPr>
        <w:pStyle w:val="ListNumber"/>
        <w:spacing w:after="60"/>
      </w:pPr>
      <w:r>
        <w:rPr>
          <w:rFonts w:ascii="Arial" w:hAnsi="Arial"/>
          <w:sz w:val="20"/>
        </w:rPr>
        <w:t>Final Power BI Dashboard</w:t>
      </w:r>
    </w:p>
    <w:p>
      <w:pPr>
        <w:pStyle w:val="ListNumber"/>
        <w:spacing w:after="60"/>
      </w:pPr>
      <w:r>
        <w:rPr>
          <w:rFonts w:ascii="Arial" w:hAnsi="Arial"/>
          <w:sz w:val="20"/>
        </w:rPr>
        <w:t>Final KPI Analysis</w:t>
      </w:r>
    </w:p>
    <w:p>
      <w:pPr>
        <w:pStyle w:val="ListNumber"/>
        <w:spacing w:after="60"/>
      </w:pPr>
      <w:r>
        <w:rPr>
          <w:rFonts w:ascii="Arial" w:hAnsi="Arial"/>
          <w:sz w:val="20"/>
        </w:rPr>
        <w:t>Final Business Insights and Recommendations</w:t>
      </w:r>
    </w:p>
    <w:p>
      <w:pPr>
        <w:pStyle w:val="ListNumber"/>
        <w:spacing w:after="60"/>
      </w:pPr>
      <w:r>
        <w:rPr>
          <w:rFonts w:ascii="Arial" w:hAnsi="Arial"/>
          <w:sz w:val="20"/>
        </w:rPr>
        <w:t>Testing, Validation and Refinement Evidence</w:t>
      </w:r>
    </w:p>
    <w:p>
      <w:pPr>
        <w:pStyle w:val="ListNumber"/>
        <w:spacing w:after="60"/>
      </w:pPr>
      <w:r>
        <w:rPr>
          <w:rFonts w:ascii="Arial" w:hAnsi="Arial"/>
          <w:sz w:val="20"/>
        </w:rPr>
        <w:t>Integration with the Wider FinTrust Solution</w:t>
      </w:r>
    </w:p>
    <w:p>
      <w:pPr>
        <w:pStyle w:val="ListNumber"/>
        <w:spacing w:after="60"/>
      </w:pPr>
      <w:r>
        <w:rPr>
          <w:rFonts w:ascii="Arial" w:hAnsi="Arial"/>
          <w:sz w:val="20"/>
        </w:rPr>
        <w:t>Assumptions, Limitations and Responsible Use</w:t>
      </w:r>
    </w:p>
    <w:p>
      <w:pPr>
        <w:pStyle w:val="ListNumber"/>
        <w:spacing w:after="60"/>
      </w:pPr>
      <w:r>
        <w:rPr>
          <w:rFonts w:ascii="Arial" w:hAnsi="Arial"/>
          <w:sz w:val="20"/>
        </w:rPr>
        <w:t>Lessons Learned and Final Reflection</w:t>
      </w:r>
    </w:p>
    <w:p>
      <w:pPr>
        <w:pStyle w:val="ListNumber"/>
        <w:spacing w:after="60"/>
      </w:pPr>
      <w:r>
        <w:rPr>
          <w:rFonts w:ascii="Arial" w:hAnsi="Arial"/>
          <w:sz w:val="20"/>
        </w:rPr>
        <w:t>Final Deliverables and Conclusion</w:t>
      </w:r>
    </w:p>
    <w:p>
      <w:pPr>
        <w:pStyle w:val="Heading1"/>
        <w:keepNext/>
      </w:pPr>
      <w:r>
        <w:t>1. Executive Summary</w:t>
      </w:r>
    </w:p>
    <w:p>
      <w:r>
        <w:rPr>
          <w:b/>
        </w:rPr>
        <w:t xml:space="preserve">Purpose. </w:t>
      </w:r>
      <w:r>
        <w:t>This report presents the final Data Analytics solution developed for the fictional FinTrust Digital Bank project. It consolidates the work completed across Weeks 1–4 and demonstrates how customer and transaction data were prepared, analysed, validated, visualised and translated into decision-oriented business intelligence.</w:t>
      </w:r>
    </w:p>
    <w:p>
      <w:r>
        <w:rPr>
          <w:b/>
        </w:rPr>
        <w:t xml:space="preserve">Final outcome. </w:t>
      </w:r>
      <w:r>
        <w:t>The final solution combines SQL, Python and Power BI. SQL was used for business-oriented querying and comparative analysis; Python was used for exploratory analysis, cross-validation and reproducibility checks; and Power BI was used to communicate KPIs, transaction patterns, customer behaviour, risk-review patterns and drill-through detail in an interactive dashboard.</w:t>
      </w:r>
    </w:p>
    <w:p>
      <w:pPr>
        <w:pStyle w:val="ListBullet"/>
        <w:spacing w:after="60"/>
      </w:pPr>
      <w:r>
        <w:rPr>
          <w:rFonts w:ascii="Arial" w:hAnsi="Arial"/>
          <w:sz w:val="20"/>
        </w:rPr>
        <w:t>1,500 customer records and 12,000 transaction records were retained in the final cleaned analytical datasets.</w:t>
      </w:r>
    </w:p>
    <w:p>
      <w:pPr>
        <w:pStyle w:val="ListBullet"/>
        <w:spacing w:after="60"/>
      </w:pPr>
      <w:r>
        <w:rPr>
          <w:rFonts w:ascii="Arial" w:hAnsi="Arial"/>
          <w:sz w:val="20"/>
        </w:rPr>
        <w:t>Core KPIs were independently recalculated and matched the values used in the final dashboard.</w:t>
      </w:r>
    </w:p>
    <w:p>
      <w:pPr>
        <w:pStyle w:val="ListBullet"/>
        <w:spacing w:after="60"/>
      </w:pPr>
      <w:r>
        <w:rPr>
          <w:rFonts w:ascii="Arial" w:hAnsi="Arial"/>
          <w:sz w:val="20"/>
        </w:rPr>
        <w:t>The strongest analytical findings were cross-validated across SQL, Python and Power BI.</w:t>
      </w:r>
    </w:p>
    <w:p>
      <w:pPr>
        <w:pStyle w:val="ListBullet"/>
        <w:spacing w:after="60"/>
      </w:pPr>
      <w:r>
        <w:rPr>
          <w:rFonts w:ascii="Arial" w:hAnsi="Arial"/>
          <w:sz w:val="20"/>
        </w:rPr>
        <w:t>Week 4 testing found no material inconsistencies requiring changes to the underlying cleaned datasets or major analytical calculations.</w:t>
      </w:r>
    </w:p>
    <w:p>
      <w:pPr>
        <w:pStyle w:val="ListBullet"/>
        <w:spacing w:after="60"/>
      </w:pPr>
      <w:r>
        <w:rPr>
          <w:rFonts w:ascii="Arial" w:hAnsi="Arial"/>
          <w:sz w:val="20"/>
        </w:rPr>
        <w:t>Final refinements focused on validation evidence, dashboard clarity, drill-through functionality, KPI consistency and final documentation.</w:t>
      </w:r>
    </w:p>
    <w:p>
      <w:pPr>
        <w:pStyle w:val="Heading1"/>
        <w:keepNext/>
      </w:pPr>
      <w:r>
        <w:t>2. Project Background and Business Objective</w:t>
      </w:r>
    </w:p>
    <w:p>
      <w:r>
        <w:t>FinTrust is a fictional digital banking organisation used for the AnalystLab Africa Experience Lab project. The Data Analytics track focused on transforming the supplied customer and transaction data into a coherent business intelligence solution that can support management understanding and decision-making.</w:t>
      </w:r>
    </w:p>
    <w:p>
      <w:pPr>
        <w:spacing w:after="80"/>
      </w:pPr>
      <w:r>
        <w:rPr>
          <w:rFonts w:ascii="Arial" w:hAnsi="Arial"/>
          <w:b/>
          <w:sz w:val="20"/>
        </w:rPr>
        <w:t xml:space="preserve">Primary objective: </w:t>
      </w:r>
      <w:r>
        <w:rPr>
          <w:rFonts w:ascii="Arial" w:hAnsi="Arial"/>
          <w:sz w:val="20"/>
        </w:rPr>
        <w:t>Provide reliable, interpretable and decision-oriented analysis of customer behaviour, transaction performance, channel activity, operational failures, digital engagement and risk-review patterns.</w:t>
      </w:r>
    </w:p>
    <w:p>
      <w:pPr>
        <w:spacing w:after="80"/>
      </w:pPr>
      <w:r>
        <w:rPr>
          <w:rFonts w:ascii="Arial" w:hAnsi="Arial"/>
          <w:b/>
          <w:sz w:val="20"/>
        </w:rPr>
        <w:t xml:space="preserve">Final Week 4 objective: </w:t>
      </w:r>
      <w:r>
        <w:rPr>
          <w:rFonts w:ascii="Arial" w:hAnsi="Arial"/>
          <w:sz w:val="20"/>
        </w:rPr>
        <w:t>Move from development to final testing, validation, refinement, documentation and presentation of the analytical solution.</w:t>
      </w:r>
    </w:p>
    <w:p>
      <w:pPr>
        <w:pStyle w:val="Heading1"/>
        <w:keepNext/>
      </w:pPr>
      <w:r>
        <w:t>3. Data Sources and Final Data Quality Status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592"/>
            <w:shd w:fill="1F4E79"/>
            <w:vAlign w:val="center"/>
            <w:tcMar>
              <w:top w:w="90" w:type="dxa"/>
              <w:start w:w="90" w:type="dxa"/>
              <w:bottom w:w="90" w:type="dxa"/>
              <w:end w:w="90" w:type="dxa"/>
            </w:tcMar>
          </w:tcPr>
          <w:p>
            <w:r>
              <w:rPr>
                <w:rFonts w:ascii="Arial" w:hAnsi="Arial"/>
                <w:b/>
                <w:color w:val="FFFFFF"/>
                <w:sz w:val="17"/>
              </w:rPr>
              <w:t>Dataset</w:t>
            </w:r>
          </w:p>
        </w:tc>
        <w:tc>
          <w:tcPr>
            <w:tcW w:type="dxa" w:w="2160"/>
            <w:shd w:fill="1F4E79"/>
            <w:vAlign w:val="center"/>
            <w:tcMar>
              <w:top w:w="90" w:type="dxa"/>
              <w:start w:w="90" w:type="dxa"/>
              <w:bottom w:w="90" w:type="dxa"/>
              <w:end w:w="90" w:type="dxa"/>
            </w:tcMar>
          </w:tcPr>
          <w:p>
            <w:r>
              <w:rPr>
                <w:rFonts w:ascii="Arial" w:hAnsi="Arial"/>
                <w:b/>
                <w:color w:val="FFFFFF"/>
                <w:sz w:val="17"/>
              </w:rPr>
              <w:t>Final size</w:t>
            </w:r>
          </w:p>
        </w:tc>
        <w:tc>
          <w:tcPr>
            <w:tcW w:type="dxa" w:w="5472"/>
            <w:shd w:fill="1F4E79"/>
            <w:vAlign w:val="center"/>
            <w:tcMar>
              <w:top w:w="90" w:type="dxa"/>
              <w:start w:w="90" w:type="dxa"/>
              <w:bottom w:w="90" w:type="dxa"/>
              <w:end w:w="90" w:type="dxa"/>
            </w:tcMar>
          </w:tcPr>
          <w:p>
            <w:r>
              <w:rPr>
                <w:rFonts w:ascii="Arial" w:hAnsi="Arial"/>
                <w:b/>
                <w:color w:val="FFFFFF"/>
                <w:sz w:val="17"/>
              </w:rPr>
              <w:t>Purpose</w:t>
            </w:r>
          </w:p>
        </w:tc>
      </w:tr>
      <w:tr>
        <w:trPr>
          <w:cantSplit/>
        </w:trPr>
        <w:tc>
          <w:tcPr>
            <w:tcW w:type="dxa" w:w="2592"/>
            <w:vAlign w:val="top"/>
            <w:tcMar>
              <w:top w:w="90" w:type="dxa"/>
              <w:start w:w="90" w:type="dxa"/>
              <w:bottom w:w="90" w:type="dxa"/>
              <w:end w:w="90" w:type="dxa"/>
            </w:tcMar>
          </w:tcPr>
          <w:p>
            <w:pPr>
              <w:spacing w:after="0"/>
            </w:pPr>
            <w:r>
              <w:rPr>
                <w:rFonts w:ascii="Arial" w:hAnsi="Arial"/>
                <w:sz w:val="17"/>
              </w:rPr>
              <w:t>Customer data</w:t>
            </w:r>
          </w:p>
        </w:tc>
        <w:tc>
          <w:tcPr>
            <w:tcW w:type="dxa" w:w="2160"/>
            <w:vAlign w:val="top"/>
            <w:tcMar>
              <w:top w:w="90" w:type="dxa"/>
              <w:start w:w="90" w:type="dxa"/>
              <w:bottom w:w="90" w:type="dxa"/>
              <w:end w:w="90" w:type="dxa"/>
            </w:tcMar>
          </w:tcPr>
          <w:p>
            <w:pPr>
              <w:spacing w:after="0"/>
            </w:pPr>
            <w:r>
              <w:rPr>
                <w:rFonts w:ascii="Arial" w:hAnsi="Arial"/>
                <w:sz w:val="17"/>
              </w:rPr>
              <w:t>1,500 rows / 12 fields</w:t>
            </w:r>
          </w:p>
        </w:tc>
        <w:tc>
          <w:tcPr>
            <w:tcW w:type="dxa" w:w="5472"/>
            <w:vAlign w:val="top"/>
            <w:tcMar>
              <w:top w:w="90" w:type="dxa"/>
              <w:start w:w="90" w:type="dxa"/>
              <w:bottom w:w="90" w:type="dxa"/>
              <w:end w:w="90" w:type="dxa"/>
            </w:tcMar>
          </w:tcPr>
          <w:p>
            <w:pPr>
              <w:spacing w:after="0"/>
            </w:pPr>
            <w:r>
              <w:rPr>
                <w:rFonts w:ascii="Arial" w:hAnsi="Arial"/>
                <w:sz w:val="17"/>
              </w:rPr>
              <w:t>Customer profile, segment, account, tenure, digital engagement, income band, preferred channel and account status.</w:t>
            </w:r>
          </w:p>
        </w:tc>
      </w:tr>
      <w:tr>
        <w:trPr>
          <w:cantSplit/>
        </w:trPr>
        <w:tc>
          <w:tcPr>
            <w:tcW w:type="dxa" w:w="2592"/>
            <w:vAlign w:val="top"/>
            <w:tcMar>
              <w:top w:w="90" w:type="dxa"/>
              <w:start w:w="90" w:type="dxa"/>
              <w:bottom w:w="90" w:type="dxa"/>
              <w:end w:w="90" w:type="dxa"/>
            </w:tcMar>
            <w:shd w:fill="F5F8FB"/>
          </w:tcPr>
          <w:p>
            <w:pPr>
              <w:spacing w:after="0"/>
            </w:pPr>
            <w:r>
              <w:rPr>
                <w:rFonts w:ascii="Arial" w:hAnsi="Arial"/>
                <w:sz w:val="17"/>
              </w:rPr>
              <w:t>Transaction data</w:t>
            </w:r>
          </w:p>
        </w:tc>
        <w:tc>
          <w:tcPr>
            <w:tcW w:type="dxa" w:w="2160"/>
            <w:vAlign w:val="top"/>
            <w:tcMar>
              <w:top w:w="90" w:type="dxa"/>
              <w:start w:w="90" w:type="dxa"/>
              <w:bottom w:w="90" w:type="dxa"/>
              <w:end w:w="90" w:type="dxa"/>
            </w:tcMar>
            <w:shd w:fill="F5F8FB"/>
          </w:tcPr>
          <w:p>
            <w:pPr>
              <w:spacing w:after="0"/>
            </w:pPr>
            <w:r>
              <w:rPr>
                <w:rFonts w:ascii="Arial" w:hAnsi="Arial"/>
                <w:sz w:val="17"/>
              </w:rPr>
              <w:t>12,000 rows / 12 fields</w:t>
            </w:r>
          </w:p>
        </w:tc>
        <w:tc>
          <w:tcPr>
            <w:tcW w:type="dxa" w:w="5472"/>
            <w:vAlign w:val="top"/>
            <w:tcMar>
              <w:top w:w="90" w:type="dxa"/>
              <w:start w:w="90" w:type="dxa"/>
              <w:bottom w:w="90" w:type="dxa"/>
              <w:end w:w="90" w:type="dxa"/>
            </w:tcMar>
            <w:shd w:fill="F5F8FB"/>
          </w:tcPr>
          <w:p>
            <w:pPr>
              <w:spacing w:after="0"/>
            </w:pPr>
            <w:r>
              <w:rPr>
                <w:rFonts w:ascii="Arial" w:hAnsi="Arial"/>
                <w:sz w:val="17"/>
              </w:rPr>
              <w:t>Transaction date/time, type, value, channel, device, location, international flag, status and risk-review flag.</w:t>
            </w:r>
          </w:p>
        </w:tc>
      </w:tr>
    </w:tbl>
    <w:p>
      <w:pPr>
        <w:spacing w:after="20"/>
      </w:pPr>
    </w:p>
    <w:p>
      <w:pPr>
        <w:pStyle w:val="ListBullet"/>
        <w:spacing w:after="60"/>
      </w:pPr>
      <w:r>
        <w:rPr>
          <w:rFonts w:ascii="Arial" w:hAnsi="Arial"/>
          <w:sz w:val="20"/>
        </w:rPr>
        <w:t>Customer_ID is the analytical key used to connect the customer and transaction datasets.</w:t>
      </w:r>
    </w:p>
    <w:p>
      <w:pPr>
        <w:pStyle w:val="ListBullet"/>
        <w:spacing w:after="60"/>
      </w:pPr>
      <w:r>
        <w:rPr>
          <w:rFonts w:ascii="Arial" w:hAnsi="Arial"/>
          <w:sz w:val="20"/>
        </w:rPr>
        <w:t>Customer_Name is not treated as a unique identifier because names can repeat across customers.</w:t>
      </w:r>
    </w:p>
    <w:p>
      <w:pPr>
        <w:pStyle w:val="ListBullet"/>
        <w:spacing w:after="60"/>
      </w:pPr>
      <w:r>
        <w:rPr>
          <w:rFonts w:ascii="Arial" w:hAnsi="Arial"/>
          <w:sz w:val="20"/>
        </w:rPr>
        <w:t>The final transaction period covers 1 January 2026 to 31 March 2026.</w:t>
      </w:r>
    </w:p>
    <w:p>
      <w:pPr>
        <w:pStyle w:val="ListBullet"/>
        <w:spacing w:after="60"/>
      </w:pPr>
      <w:r>
        <w:rPr>
          <w:rFonts w:ascii="Arial" w:hAnsi="Arial"/>
          <w:sz w:val="20"/>
        </w:rPr>
        <w:t>Transaction_ID and Customer_ID uniqueness checks passed for their intended roles.</w:t>
      </w:r>
    </w:p>
    <w:p>
      <w:pPr>
        <w:pStyle w:val="ListBullet"/>
        <w:spacing w:after="60"/>
      </w:pPr>
      <w:r>
        <w:rPr>
          <w:rFonts w:ascii="Arial" w:hAnsi="Arial"/>
          <w:sz w:val="20"/>
        </w:rPr>
        <w:t>All transaction Customer_ID values matched valid customers in the customer dataset.</w:t>
      </w:r>
    </w:p>
    <w:p>
      <w:pPr>
        <w:pStyle w:val="ListBullet"/>
        <w:spacing w:after="60"/>
      </w:pPr>
      <w:r>
        <w:rPr>
          <w:rFonts w:ascii="Arial" w:hAnsi="Arial"/>
          <w:sz w:val="20"/>
        </w:rPr>
        <w:t>No zero or negative transaction amounts were identified in the final dataset.</w:t>
      </w:r>
    </w:p>
    <w:p>
      <w:pPr>
        <w:pStyle w:val="ListBullet"/>
        <w:spacing w:after="60"/>
      </w:pPr>
      <w:r>
        <w:rPr>
          <w:rFonts w:ascii="Arial" w:hAnsi="Arial"/>
          <w:sz w:val="20"/>
        </w:rPr>
        <w:t>Previously identified missing Device_Type and Location values were handled during data preparation by assigning an explicit N/A category rather than silently dropping records.</w:t>
      </w:r>
    </w:p>
    <w:p>
      <w:pPr>
        <w:spacing w:after="80"/>
      </w:pPr>
      <w:r>
        <w:rPr>
          <w:rFonts w:ascii="Arial" w:hAnsi="Arial"/>
          <w:b/>
          <w:sz w:val="20"/>
        </w:rPr>
        <w:t xml:space="preserve">Final data-quality conclusion: </w:t>
      </w:r>
      <w:r>
        <w:rPr>
          <w:rFonts w:ascii="Arial" w:hAnsi="Arial"/>
          <w:sz w:val="20"/>
        </w:rPr>
        <w:t>The cleaned datasets remained structurally consistent and suitable for final analysis. Week 4 checks did not identify a new material data-quality issue that required reopening the cleaning stage.</w:t>
      </w:r>
    </w:p>
    <w:p>
      <w:pPr>
        <w:pStyle w:val="Heading1"/>
        <w:keepNext/>
      </w:pPr>
      <w:r>
        <w:t>4. Analytical Approach and Tools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shd w:fill="1F4E79"/>
            <w:vAlign w:val="center"/>
            <w:tcMar>
              <w:top w:w="90" w:type="dxa"/>
              <w:start w:w="90" w:type="dxa"/>
              <w:bottom w:w="90" w:type="dxa"/>
              <w:end w:w="90" w:type="dxa"/>
            </w:tcMar>
          </w:tcPr>
          <w:p>
            <w:r>
              <w:rPr>
                <w:rFonts w:ascii="Arial" w:hAnsi="Arial"/>
                <w:b/>
                <w:color w:val="FFFFFF"/>
                <w:sz w:val="17"/>
              </w:rPr>
              <w:t>Tool / method</w:t>
            </w:r>
          </w:p>
        </w:tc>
        <w:tc>
          <w:tcPr>
            <w:tcW w:type="dxa" w:w="7632"/>
            <w:shd w:fill="1F4E79"/>
            <w:vAlign w:val="center"/>
            <w:tcMar>
              <w:top w:w="90" w:type="dxa"/>
              <w:start w:w="90" w:type="dxa"/>
              <w:bottom w:w="90" w:type="dxa"/>
              <w:end w:w="90" w:type="dxa"/>
            </w:tcMar>
          </w:tcPr>
          <w:p>
            <w:r>
              <w:rPr>
                <w:rFonts w:ascii="Arial" w:hAnsi="Arial"/>
                <w:b/>
                <w:color w:val="FFFFFF"/>
                <w:sz w:val="17"/>
              </w:rPr>
              <w:t>Role in the final solution</w:t>
            </w:r>
          </w:p>
        </w:tc>
      </w:tr>
      <w:tr>
        <w:trPr>
          <w:cantSplit/>
        </w:trPr>
        <w:tc>
          <w:tcPr>
            <w:tcW w:type="dxa" w:w="2592"/>
            <w:vAlign w:val="top"/>
            <w:tcMar>
              <w:top w:w="90" w:type="dxa"/>
              <w:start w:w="90" w:type="dxa"/>
              <w:bottom w:w="90" w:type="dxa"/>
              <w:end w:w="90" w:type="dxa"/>
            </w:tcMar>
          </w:tcPr>
          <w:p>
            <w:pPr>
              <w:spacing w:after="0"/>
            </w:pPr>
            <w:r>
              <w:rPr>
                <w:rFonts w:ascii="Arial" w:hAnsi="Arial"/>
                <w:sz w:val="17"/>
              </w:rPr>
              <w:t>MySQL / SQL</w:t>
            </w:r>
          </w:p>
        </w:tc>
        <w:tc>
          <w:tcPr>
            <w:tcW w:type="dxa" w:w="7632"/>
            <w:vAlign w:val="top"/>
            <w:tcMar>
              <w:top w:w="90" w:type="dxa"/>
              <w:start w:w="90" w:type="dxa"/>
              <w:bottom w:w="90" w:type="dxa"/>
              <w:end w:w="90" w:type="dxa"/>
            </w:tcMar>
          </w:tcPr>
          <w:p>
            <w:pPr>
              <w:spacing w:after="0"/>
            </w:pPr>
            <w:r>
              <w:rPr>
                <w:rFonts w:ascii="Arial" w:hAnsi="Arial"/>
                <w:sz w:val="17"/>
              </w:rPr>
              <w:t>Business querying, aggregation, segmentation, rankings, month-over-month comparison, failure-rate analysis and risk-review analysis.</w:t>
            </w:r>
          </w:p>
        </w:tc>
      </w:tr>
      <w:tr>
        <w:trPr>
          <w:cantSplit/>
        </w:trPr>
        <w:tc>
          <w:tcPr>
            <w:tcW w:type="dxa" w:w="2592"/>
            <w:vAlign w:val="top"/>
            <w:tcMar>
              <w:top w:w="90" w:type="dxa"/>
              <w:start w:w="90" w:type="dxa"/>
              <w:bottom w:w="90" w:type="dxa"/>
              <w:end w:w="90" w:type="dxa"/>
            </w:tcMar>
            <w:shd w:fill="F5F8FB"/>
          </w:tcPr>
          <w:p>
            <w:pPr>
              <w:spacing w:after="0"/>
            </w:pPr>
            <w:r>
              <w:rPr>
                <w:rFonts w:ascii="Arial" w:hAnsi="Arial"/>
                <w:sz w:val="17"/>
              </w:rPr>
              <w:t>Python / Pandas / NumPy</w:t>
            </w:r>
          </w:p>
        </w:tc>
        <w:tc>
          <w:tcPr>
            <w:tcW w:type="dxa" w:w="7632"/>
            <w:vAlign w:val="top"/>
            <w:tcMar>
              <w:top w:w="90" w:type="dxa"/>
              <w:start w:w="90" w:type="dxa"/>
              <w:bottom w:w="90" w:type="dxa"/>
              <w:end w:w="90" w:type="dxa"/>
            </w:tcMar>
            <w:shd w:fill="F5F8FB"/>
          </w:tcPr>
          <w:p>
            <w:pPr>
              <w:spacing w:after="0"/>
            </w:pPr>
            <w:r>
              <w:rPr>
                <w:rFonts w:ascii="Arial" w:hAnsi="Arial"/>
                <w:sz w:val="17"/>
              </w:rPr>
              <w:t>Data-quality checks, reproducibility testing, cross-validation, exploratory analysis and analytical summaries.</w:t>
            </w:r>
          </w:p>
        </w:tc>
      </w:tr>
      <w:tr>
        <w:trPr>
          <w:cantSplit/>
        </w:trPr>
        <w:tc>
          <w:tcPr>
            <w:tcW w:type="dxa" w:w="2592"/>
            <w:vAlign w:val="top"/>
            <w:tcMar>
              <w:top w:w="90" w:type="dxa"/>
              <w:start w:w="90" w:type="dxa"/>
              <w:bottom w:w="90" w:type="dxa"/>
              <w:end w:w="90" w:type="dxa"/>
            </w:tcMar>
          </w:tcPr>
          <w:p>
            <w:pPr>
              <w:spacing w:after="0"/>
            </w:pPr>
            <w:r>
              <w:rPr>
                <w:rFonts w:ascii="Arial" w:hAnsi="Arial"/>
                <w:sz w:val="17"/>
              </w:rPr>
              <w:t>Matplotlib / Seaborn</w:t>
            </w:r>
          </w:p>
        </w:tc>
        <w:tc>
          <w:tcPr>
            <w:tcW w:type="dxa" w:w="7632"/>
            <w:vAlign w:val="top"/>
            <w:tcMar>
              <w:top w:w="90" w:type="dxa"/>
              <w:start w:w="90" w:type="dxa"/>
              <w:bottom w:w="90" w:type="dxa"/>
              <w:end w:w="90" w:type="dxa"/>
            </w:tcMar>
          </w:tcPr>
          <w:p>
            <w:pPr>
              <w:spacing w:after="0"/>
            </w:pPr>
            <w:r>
              <w:rPr>
                <w:rFonts w:ascii="Arial" w:hAnsi="Arial"/>
                <w:sz w:val="17"/>
              </w:rPr>
              <w:t>Supporting visual analysis, including trend charts, distributions and failure-rate heatmaps.</w:t>
            </w:r>
          </w:p>
        </w:tc>
      </w:tr>
      <w:tr>
        <w:trPr>
          <w:cantSplit/>
        </w:trPr>
        <w:tc>
          <w:tcPr>
            <w:tcW w:type="dxa" w:w="2592"/>
            <w:vAlign w:val="top"/>
            <w:tcMar>
              <w:top w:w="90" w:type="dxa"/>
              <w:start w:w="90" w:type="dxa"/>
              <w:bottom w:w="90" w:type="dxa"/>
              <w:end w:w="90" w:type="dxa"/>
            </w:tcMar>
            <w:shd w:fill="F5F8FB"/>
          </w:tcPr>
          <w:p>
            <w:pPr>
              <w:spacing w:after="0"/>
            </w:pPr>
            <w:r>
              <w:rPr>
                <w:rFonts w:ascii="Arial" w:hAnsi="Arial"/>
                <w:sz w:val="17"/>
              </w:rPr>
              <w:t>Power BI</w:t>
            </w:r>
          </w:p>
        </w:tc>
        <w:tc>
          <w:tcPr>
            <w:tcW w:type="dxa" w:w="7632"/>
            <w:vAlign w:val="top"/>
            <w:tcMar>
              <w:top w:w="90" w:type="dxa"/>
              <w:start w:w="90" w:type="dxa"/>
              <w:bottom w:w="90" w:type="dxa"/>
              <w:end w:w="90" w:type="dxa"/>
            </w:tcMar>
            <w:shd w:fill="F5F8FB"/>
          </w:tcPr>
          <w:p>
            <w:pPr>
              <w:spacing w:after="0"/>
            </w:pPr>
            <w:r>
              <w:rPr>
                <w:rFonts w:ascii="Arial" w:hAnsi="Arial"/>
                <w:sz w:val="17"/>
              </w:rPr>
              <w:t>Final KPI reporting, transaction/customer/risk analysis, slicers, cross-filtering and customer-segment drill-through.</w:t>
            </w:r>
          </w:p>
        </w:tc>
      </w:tr>
      <w:tr>
        <w:trPr>
          <w:cantSplit/>
        </w:trPr>
        <w:tc>
          <w:tcPr>
            <w:tcW w:type="dxa" w:w="2592"/>
            <w:vAlign w:val="top"/>
            <w:tcMar>
              <w:top w:w="90" w:type="dxa"/>
              <w:start w:w="90" w:type="dxa"/>
              <w:bottom w:w="90" w:type="dxa"/>
              <w:end w:w="90" w:type="dxa"/>
            </w:tcMar>
          </w:tcPr>
          <w:p>
            <w:pPr>
              <w:spacing w:after="0"/>
            </w:pPr>
            <w:r>
              <w:rPr>
                <w:rFonts w:ascii="Arial" w:hAnsi="Arial"/>
                <w:sz w:val="17"/>
              </w:rPr>
              <w:t>Git / GitHub</w:t>
            </w:r>
          </w:p>
        </w:tc>
        <w:tc>
          <w:tcPr>
            <w:tcW w:type="dxa" w:w="7632"/>
            <w:vAlign w:val="top"/>
            <w:tcMar>
              <w:top w:w="90" w:type="dxa"/>
              <w:start w:w="90" w:type="dxa"/>
              <w:bottom w:w="90" w:type="dxa"/>
              <w:end w:w="90" w:type="dxa"/>
            </w:tcMar>
          </w:tcPr>
          <w:p>
            <w:pPr>
              <w:spacing w:after="0"/>
            </w:pPr>
            <w:r>
              <w:rPr>
                <w:rFonts w:ascii="Arial" w:hAnsi="Arial"/>
                <w:sz w:val="17"/>
              </w:rPr>
              <w:t>Portfolio organisation, weekly documentation, code/notebook storage and project progression tracking.</w:t>
            </w:r>
          </w:p>
        </w:tc>
      </w:tr>
    </w:tbl>
    <w:p>
      <w:pPr>
        <w:spacing w:after="20"/>
      </w:pPr>
    </w:p>
    <w:p>
      <w:pPr>
        <w:pStyle w:val="Heading1"/>
        <w:keepNext/>
      </w:pPr>
      <w:r>
        <w:t>5. Weeks 1–3 Foundation and Week 4 Refinement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9"/>
            <w:vAlign w:val="center"/>
            <w:tcMar>
              <w:top w:w="90" w:type="dxa"/>
              <w:start w:w="90" w:type="dxa"/>
              <w:bottom w:w="90" w:type="dxa"/>
              <w:end w:w="90" w:type="dxa"/>
            </w:tcMar>
          </w:tcPr>
          <w:p>
            <w:r>
              <w:rPr>
                <w:rFonts w:ascii="Arial" w:hAnsi="Arial"/>
                <w:b/>
                <w:color w:val="FFFFFF"/>
                <w:sz w:val="16"/>
              </w:rPr>
              <w:t>Stage</w:t>
            </w:r>
          </w:p>
        </w:tc>
        <w:tc>
          <w:tcPr>
            <w:tcW w:type="dxa" w:w="7344"/>
            <w:shd w:fill="1F4E79"/>
            <w:vAlign w:val="center"/>
            <w:tcMar>
              <w:top w:w="90" w:type="dxa"/>
              <w:start w:w="90" w:type="dxa"/>
              <w:bottom w:w="90" w:type="dxa"/>
              <w:end w:w="90" w:type="dxa"/>
            </w:tcMar>
          </w:tcPr>
          <w:p>
            <w:r>
              <w:rPr>
                <w:rFonts w:ascii="Arial" w:hAnsi="Arial"/>
                <w:b/>
                <w:color w:val="FFFFFF"/>
                <w:sz w:val="16"/>
              </w:rPr>
              <w:t>Main contribution</w:t>
            </w:r>
          </w:p>
        </w:tc>
      </w:tr>
      <w:tr>
        <w:trPr>
          <w:cantSplit/>
        </w:trPr>
        <w:tc>
          <w:tcPr>
            <w:tcW w:type="dxa" w:w="2880"/>
            <w:vAlign w:val="top"/>
            <w:tcMar>
              <w:top w:w="90" w:type="dxa"/>
              <w:start w:w="90" w:type="dxa"/>
              <w:bottom w:w="90" w:type="dxa"/>
              <w:end w:w="90" w:type="dxa"/>
            </w:tcMar>
          </w:tcPr>
          <w:p>
            <w:pPr>
              <w:spacing w:after="0"/>
            </w:pPr>
            <w:r>
              <w:rPr>
                <w:rFonts w:ascii="Arial" w:hAnsi="Arial"/>
                <w:sz w:val="16"/>
              </w:rPr>
              <w:t>Week 1 – Understand &amp; Plan</w:t>
            </w:r>
          </w:p>
        </w:tc>
        <w:tc>
          <w:tcPr>
            <w:tcW w:type="dxa" w:w="7344"/>
            <w:vAlign w:val="top"/>
            <w:tcMar>
              <w:top w:w="90" w:type="dxa"/>
              <w:start w:w="90" w:type="dxa"/>
              <w:bottom w:w="90" w:type="dxa"/>
              <w:end w:w="90" w:type="dxa"/>
            </w:tcMar>
          </w:tcPr>
          <w:p>
            <w:pPr>
              <w:spacing w:after="0"/>
            </w:pPr>
            <w:r>
              <w:rPr>
                <w:rFonts w:ascii="Arial" w:hAnsi="Arial"/>
                <w:sz w:val="16"/>
              </w:rPr>
              <w:t>Defined the business problem, analytical questions, KPIs, dashboard direction, risks, success criteria and project plan.</w:t>
            </w:r>
          </w:p>
        </w:tc>
      </w:tr>
      <w:tr>
        <w:trPr>
          <w:cantSplit/>
        </w:trPr>
        <w:tc>
          <w:tcPr>
            <w:tcW w:type="dxa" w:w="2880"/>
            <w:vAlign w:val="top"/>
            <w:tcMar>
              <w:top w:w="90" w:type="dxa"/>
              <w:start w:w="90" w:type="dxa"/>
              <w:bottom w:w="90" w:type="dxa"/>
              <w:end w:w="90" w:type="dxa"/>
            </w:tcMar>
            <w:shd w:fill="F5F8FB"/>
          </w:tcPr>
          <w:p>
            <w:pPr>
              <w:spacing w:after="0"/>
            </w:pPr>
            <w:r>
              <w:rPr>
                <w:rFonts w:ascii="Arial" w:hAnsi="Arial"/>
                <w:sz w:val="16"/>
              </w:rPr>
              <w:t>Week 2 – Analyse &amp; Prepare</w:t>
            </w:r>
          </w:p>
        </w:tc>
        <w:tc>
          <w:tcPr>
            <w:tcW w:type="dxa" w:w="7344"/>
            <w:vAlign w:val="top"/>
            <w:tcMar>
              <w:top w:w="90" w:type="dxa"/>
              <w:start w:w="90" w:type="dxa"/>
              <w:bottom w:w="90" w:type="dxa"/>
              <w:end w:w="90" w:type="dxa"/>
            </w:tcMar>
            <w:shd w:fill="F5F8FB"/>
          </w:tcPr>
          <w:p>
            <w:pPr>
              <w:spacing w:after="0"/>
            </w:pPr>
            <w:r>
              <w:rPr>
                <w:rFonts w:ascii="Arial" w:hAnsi="Arial"/>
                <w:sz w:val="16"/>
              </w:rPr>
              <w:t>Completed data-quality assessment, cleaning, descriptive SQL, Python EDA, KPI development and the initial Power BI dashboard.</w:t>
            </w:r>
          </w:p>
        </w:tc>
      </w:tr>
      <w:tr>
        <w:trPr>
          <w:cantSplit/>
        </w:trPr>
        <w:tc>
          <w:tcPr>
            <w:tcW w:type="dxa" w:w="2880"/>
            <w:vAlign w:val="top"/>
            <w:tcMar>
              <w:top w:w="90" w:type="dxa"/>
              <w:start w:w="90" w:type="dxa"/>
              <w:bottom w:w="90" w:type="dxa"/>
              <w:end w:w="90" w:type="dxa"/>
            </w:tcMar>
          </w:tcPr>
          <w:p>
            <w:pPr>
              <w:spacing w:after="0"/>
            </w:pPr>
            <w:r>
              <w:rPr>
                <w:rFonts w:ascii="Arial" w:hAnsi="Arial"/>
                <w:sz w:val="16"/>
              </w:rPr>
              <w:t>Week 3 – Develop &amp; Integrate</w:t>
            </w:r>
          </w:p>
        </w:tc>
        <w:tc>
          <w:tcPr>
            <w:tcW w:type="dxa" w:w="7344"/>
            <w:vAlign w:val="top"/>
            <w:tcMar>
              <w:top w:w="90" w:type="dxa"/>
              <w:start w:w="90" w:type="dxa"/>
              <w:bottom w:w="90" w:type="dxa"/>
              <w:end w:w="90" w:type="dxa"/>
            </w:tcMar>
          </w:tcPr>
          <w:p>
            <w:pPr>
              <w:spacing w:after="0"/>
            </w:pPr>
            <w:r>
              <w:rPr>
                <w:rFonts w:ascii="Arial" w:hAnsi="Arial"/>
                <w:sz w:val="16"/>
              </w:rPr>
              <w:t>Added advanced SQL, deeper Python analysis, normalized customer metrics, risk/failure analysis, cross-tool validation, management recommendations and interactive Power BI drill-through.</w:t>
            </w:r>
          </w:p>
        </w:tc>
      </w:tr>
      <w:tr>
        <w:trPr>
          <w:cantSplit/>
        </w:trPr>
        <w:tc>
          <w:tcPr>
            <w:tcW w:type="dxa" w:w="2880"/>
            <w:vAlign w:val="top"/>
            <w:tcMar>
              <w:top w:w="90" w:type="dxa"/>
              <w:start w:w="90" w:type="dxa"/>
              <w:bottom w:w="90" w:type="dxa"/>
              <w:end w:w="90" w:type="dxa"/>
            </w:tcMar>
            <w:shd w:fill="F5F8FB"/>
          </w:tcPr>
          <w:p>
            <w:pPr>
              <w:spacing w:after="0"/>
            </w:pPr>
            <w:r>
              <w:rPr>
                <w:rFonts w:ascii="Arial" w:hAnsi="Arial"/>
                <w:sz w:val="16"/>
              </w:rPr>
              <w:t>Week 4 – Test, Refine &amp; Present</w:t>
            </w:r>
          </w:p>
        </w:tc>
        <w:tc>
          <w:tcPr>
            <w:tcW w:type="dxa" w:w="7344"/>
            <w:vAlign w:val="top"/>
            <w:tcMar>
              <w:top w:w="90" w:type="dxa"/>
              <w:start w:w="90" w:type="dxa"/>
              <w:bottom w:w="90" w:type="dxa"/>
              <w:end w:w="90" w:type="dxa"/>
            </w:tcMar>
            <w:shd w:fill="F5F8FB"/>
          </w:tcPr>
          <w:p>
            <w:pPr>
              <w:spacing w:after="0"/>
            </w:pPr>
            <w:r>
              <w:rPr>
                <w:rFonts w:ascii="Arial" w:hAnsi="Arial"/>
                <w:sz w:val="16"/>
              </w:rPr>
              <w:t>Rechecked data quality, recalculated KPIs, verified key SQL results in Python, tested notebook reproducibility, audited Power BI functionality and consolidated the final documentation.</w:t>
            </w:r>
          </w:p>
        </w:tc>
      </w:tr>
    </w:tbl>
    <w:p>
      <w:pPr>
        <w:spacing w:after="20"/>
      </w:pPr>
    </w:p>
    <w:p>
      <w:pPr>
        <w:pStyle w:val="Heading1"/>
        <w:keepNext/>
      </w:pPr>
      <w:r>
        <w:t>6. Final SQL Analysis</w:t>
      </w:r>
    </w:p>
    <w:p>
      <w:r>
        <w:t>The final SQL deliverable retains the most decision-relevant queries rather than adding unnecessary new analyses. The final set demonstrates JOINs, GROUP BY, CASE expressions, CTEs, aggregations and window functions where appropriate.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024"/>
            <w:shd w:fill="1F4E79"/>
            <w:vAlign w:val="center"/>
            <w:tcMar>
              <w:top w:w="90" w:type="dxa"/>
              <w:start w:w="90" w:type="dxa"/>
              <w:bottom w:w="90" w:type="dxa"/>
              <w:end w:w="90" w:type="dxa"/>
            </w:tcMar>
          </w:tcPr>
          <w:p>
            <w:r>
              <w:rPr>
                <w:rFonts w:ascii="Arial" w:hAnsi="Arial"/>
                <w:b/>
                <w:color w:val="FFFFFF"/>
                <w:sz w:val="16"/>
              </w:rPr>
              <w:t>Final business query</w:t>
            </w:r>
          </w:p>
        </w:tc>
        <w:tc>
          <w:tcPr>
            <w:tcW w:type="dxa" w:w="2592"/>
            <w:shd w:fill="1F4E79"/>
            <w:vAlign w:val="center"/>
            <w:tcMar>
              <w:top w:w="90" w:type="dxa"/>
              <w:start w:w="90" w:type="dxa"/>
              <w:bottom w:w="90" w:type="dxa"/>
              <w:end w:w="90" w:type="dxa"/>
            </w:tcMar>
          </w:tcPr>
          <w:p>
            <w:r>
              <w:rPr>
                <w:rFonts w:ascii="Arial" w:hAnsi="Arial"/>
                <w:b/>
                <w:color w:val="FFFFFF"/>
                <w:sz w:val="16"/>
              </w:rPr>
              <w:t>Technique emphasis</w:t>
            </w:r>
          </w:p>
        </w:tc>
        <w:tc>
          <w:tcPr>
            <w:tcW w:type="dxa" w:w="4608"/>
            <w:shd w:fill="1F4E79"/>
            <w:vAlign w:val="center"/>
            <w:tcMar>
              <w:top w:w="90" w:type="dxa"/>
              <w:start w:w="90" w:type="dxa"/>
              <w:bottom w:w="90" w:type="dxa"/>
              <w:end w:w="90" w:type="dxa"/>
            </w:tcMar>
          </w:tcPr>
          <w:p>
            <w:r>
              <w:rPr>
                <w:rFonts w:ascii="Arial" w:hAnsi="Arial"/>
                <w:b/>
                <w:color w:val="FFFFFF"/>
                <w:sz w:val="16"/>
              </w:rPr>
              <w:t>What it reveals</w:t>
            </w:r>
          </w:p>
        </w:tc>
      </w:tr>
      <w:tr>
        <w:trPr>
          <w:cantSplit/>
        </w:trPr>
        <w:tc>
          <w:tcPr>
            <w:tcW w:type="dxa" w:w="3024"/>
            <w:vAlign w:val="top"/>
            <w:tcMar>
              <w:top w:w="90" w:type="dxa"/>
              <w:start w:w="90" w:type="dxa"/>
              <w:bottom w:w="90" w:type="dxa"/>
              <w:end w:w="90" w:type="dxa"/>
            </w:tcMar>
          </w:tcPr>
          <w:p>
            <w:pPr>
              <w:spacing w:after="0"/>
            </w:pPr>
            <w:r>
              <w:rPr>
                <w:rFonts w:ascii="Arial" w:hAnsi="Arial"/>
                <w:sz w:val="16"/>
              </w:rPr>
              <w:t>Monthly transaction performance</w:t>
            </w:r>
          </w:p>
        </w:tc>
        <w:tc>
          <w:tcPr>
            <w:tcW w:type="dxa" w:w="2592"/>
            <w:vAlign w:val="top"/>
            <w:tcMar>
              <w:top w:w="90" w:type="dxa"/>
              <w:start w:w="90" w:type="dxa"/>
              <w:bottom w:w="90" w:type="dxa"/>
              <w:end w:w="90" w:type="dxa"/>
            </w:tcMar>
          </w:tcPr>
          <w:p>
            <w:pPr>
              <w:spacing w:after="0"/>
            </w:pPr>
            <w:r>
              <w:rPr>
                <w:rFonts w:ascii="Arial" w:hAnsi="Arial"/>
                <w:sz w:val="16"/>
              </w:rPr>
              <w:t>CTE + LAG + aggregation</w:t>
            </w:r>
          </w:p>
        </w:tc>
        <w:tc>
          <w:tcPr>
            <w:tcW w:type="dxa" w:w="4608"/>
            <w:vAlign w:val="top"/>
            <w:tcMar>
              <w:top w:w="90" w:type="dxa"/>
              <w:start w:w="90" w:type="dxa"/>
              <w:bottom w:w="90" w:type="dxa"/>
              <w:end w:w="90" w:type="dxa"/>
            </w:tcMar>
          </w:tcPr>
          <w:p>
            <w:pPr>
              <w:spacing w:after="0"/>
            </w:pPr>
            <w:r>
              <w:rPr>
                <w:rFonts w:ascii="Arial" w:hAnsi="Arial"/>
                <w:sz w:val="16"/>
              </w:rPr>
              <w:t>February declined in volume and value; March recovered strongly and generated the highest monthly value.</w:t>
            </w:r>
          </w:p>
        </w:tc>
      </w:tr>
      <w:tr>
        <w:trPr>
          <w:cantSplit/>
        </w:trPr>
        <w:tc>
          <w:tcPr>
            <w:tcW w:type="dxa" w:w="3024"/>
            <w:vAlign w:val="top"/>
            <w:tcMar>
              <w:top w:w="90" w:type="dxa"/>
              <w:start w:w="90" w:type="dxa"/>
              <w:bottom w:w="90" w:type="dxa"/>
              <w:end w:w="90" w:type="dxa"/>
            </w:tcMar>
            <w:shd w:fill="F5F8FB"/>
          </w:tcPr>
          <w:p>
            <w:pPr>
              <w:spacing w:after="0"/>
            </w:pPr>
            <w:r>
              <w:rPr>
                <w:rFonts w:ascii="Arial" w:hAnsi="Arial"/>
                <w:sz w:val="16"/>
              </w:rPr>
              <w:t>Customer segment performance</w:t>
            </w:r>
          </w:p>
        </w:tc>
        <w:tc>
          <w:tcPr>
            <w:tcW w:type="dxa" w:w="2592"/>
            <w:vAlign w:val="top"/>
            <w:tcMar>
              <w:top w:w="90" w:type="dxa"/>
              <w:start w:w="90" w:type="dxa"/>
              <w:bottom w:w="90" w:type="dxa"/>
              <w:end w:w="90" w:type="dxa"/>
            </w:tcMar>
            <w:shd w:fill="F5F8FB"/>
          </w:tcPr>
          <w:p>
            <w:pPr>
              <w:spacing w:after="0"/>
            </w:pPr>
            <w:r>
              <w:rPr>
                <w:rFonts w:ascii="Arial" w:hAnsi="Arial"/>
                <w:sz w:val="16"/>
              </w:rPr>
              <w:t>JOIN + CTE + normalized KPIs</w:t>
            </w:r>
          </w:p>
        </w:tc>
        <w:tc>
          <w:tcPr>
            <w:tcW w:type="dxa" w:w="4608"/>
            <w:vAlign w:val="top"/>
            <w:tcMar>
              <w:top w:w="90" w:type="dxa"/>
              <w:start w:w="90" w:type="dxa"/>
              <w:bottom w:w="90" w:type="dxa"/>
              <w:end w:w="90" w:type="dxa"/>
            </w:tcMar>
            <w:shd w:fill="F5F8FB"/>
          </w:tcPr>
          <w:p>
            <w:pPr>
              <w:spacing w:after="0"/>
            </w:pPr>
            <w:r>
              <w:rPr>
                <w:rFonts w:ascii="Arial" w:hAnsi="Arial"/>
                <w:sz w:val="16"/>
              </w:rPr>
              <w:t>SME leads transaction value per customer; Student leads transaction frequency per customer.</w:t>
            </w:r>
          </w:p>
        </w:tc>
      </w:tr>
      <w:tr>
        <w:trPr>
          <w:cantSplit/>
        </w:trPr>
        <w:tc>
          <w:tcPr>
            <w:tcW w:type="dxa" w:w="3024"/>
            <w:vAlign w:val="top"/>
            <w:tcMar>
              <w:top w:w="90" w:type="dxa"/>
              <w:start w:w="90" w:type="dxa"/>
              <w:bottom w:w="90" w:type="dxa"/>
              <w:end w:w="90" w:type="dxa"/>
            </w:tcMar>
          </w:tcPr>
          <w:p>
            <w:pPr>
              <w:spacing w:after="0"/>
            </w:pPr>
            <w:r>
              <w:rPr>
                <w:rFonts w:ascii="Arial" w:hAnsi="Arial"/>
                <w:sz w:val="16"/>
              </w:rPr>
              <w:t>Transaction failure hotspots</w:t>
            </w:r>
          </w:p>
        </w:tc>
        <w:tc>
          <w:tcPr>
            <w:tcW w:type="dxa" w:w="2592"/>
            <w:vAlign w:val="top"/>
            <w:tcMar>
              <w:top w:w="90" w:type="dxa"/>
              <w:start w:w="90" w:type="dxa"/>
              <w:bottom w:w="90" w:type="dxa"/>
              <w:end w:w="90" w:type="dxa"/>
            </w:tcMar>
          </w:tcPr>
          <w:p>
            <w:pPr>
              <w:spacing w:after="0"/>
            </w:pPr>
            <w:r>
              <w:rPr>
                <w:rFonts w:ascii="Arial" w:hAnsi="Arial"/>
                <w:sz w:val="16"/>
              </w:rPr>
              <w:t>GROUP BY + CASE</w:t>
            </w:r>
          </w:p>
        </w:tc>
        <w:tc>
          <w:tcPr>
            <w:tcW w:type="dxa" w:w="4608"/>
            <w:vAlign w:val="top"/>
            <w:tcMar>
              <w:top w:w="90" w:type="dxa"/>
              <w:start w:w="90" w:type="dxa"/>
              <w:bottom w:w="90" w:type="dxa"/>
              <w:end w:w="90" w:type="dxa"/>
            </w:tcMar>
          </w:tcPr>
          <w:p>
            <w:pPr>
              <w:spacing w:after="0"/>
            </w:pPr>
            <w:r>
              <w:rPr>
                <w:rFonts w:ascii="Arial" w:hAnsi="Arial"/>
                <w:sz w:val="16"/>
              </w:rPr>
              <w:t>POS Bill Payment and USSD Transfer show the highest observed failure rates.</w:t>
            </w:r>
          </w:p>
        </w:tc>
      </w:tr>
      <w:tr>
        <w:trPr>
          <w:cantSplit/>
        </w:trPr>
        <w:tc>
          <w:tcPr>
            <w:tcW w:type="dxa" w:w="3024"/>
            <w:vAlign w:val="top"/>
            <w:tcMar>
              <w:top w:w="90" w:type="dxa"/>
              <w:start w:w="90" w:type="dxa"/>
              <w:bottom w:w="90" w:type="dxa"/>
              <w:end w:w="90" w:type="dxa"/>
            </w:tcMar>
            <w:shd w:fill="F5F8FB"/>
          </w:tcPr>
          <w:p>
            <w:pPr>
              <w:spacing w:after="0"/>
            </w:pPr>
            <w:r>
              <w:rPr>
                <w:rFonts w:ascii="Arial" w:hAnsi="Arial"/>
                <w:sz w:val="16"/>
              </w:rPr>
              <w:t>Risk review by transaction value</w:t>
            </w:r>
          </w:p>
        </w:tc>
        <w:tc>
          <w:tcPr>
            <w:tcW w:type="dxa" w:w="2592"/>
            <w:vAlign w:val="top"/>
            <w:tcMar>
              <w:top w:w="90" w:type="dxa"/>
              <w:start w:w="90" w:type="dxa"/>
              <w:bottom w:w="90" w:type="dxa"/>
              <w:end w:w="90" w:type="dxa"/>
            </w:tcMar>
            <w:shd w:fill="F5F8FB"/>
          </w:tcPr>
          <w:p>
            <w:pPr>
              <w:spacing w:after="0"/>
            </w:pPr>
            <w:r>
              <w:rPr>
                <w:rFonts w:ascii="Arial" w:hAnsi="Arial"/>
                <w:sz w:val="16"/>
              </w:rPr>
              <w:t>CTE + CASE + aggregation</w:t>
            </w:r>
          </w:p>
        </w:tc>
        <w:tc>
          <w:tcPr>
            <w:tcW w:type="dxa" w:w="4608"/>
            <w:vAlign w:val="top"/>
            <w:tcMar>
              <w:top w:w="90" w:type="dxa"/>
              <w:start w:w="90" w:type="dxa"/>
              <w:bottom w:w="90" w:type="dxa"/>
              <w:end w:w="90" w:type="dxa"/>
            </w:tcMar>
            <w:shd w:fill="F5F8FB"/>
          </w:tcPr>
          <w:p>
            <w:pPr>
              <w:spacing w:after="0"/>
            </w:pPr>
            <w:r>
              <w:rPr>
                <w:rFonts w:ascii="Arial" w:hAnsi="Arial"/>
                <w:sz w:val="16"/>
              </w:rPr>
              <w:t>Risk-review rate rises with transaction value and reaches 40.54% for NGN 200K+.</w:t>
            </w:r>
          </w:p>
        </w:tc>
      </w:tr>
      <w:tr>
        <w:trPr>
          <w:cantSplit/>
        </w:trPr>
        <w:tc>
          <w:tcPr>
            <w:tcW w:type="dxa" w:w="3024"/>
            <w:vAlign w:val="top"/>
            <w:tcMar>
              <w:top w:w="90" w:type="dxa"/>
              <w:start w:w="90" w:type="dxa"/>
              <w:bottom w:w="90" w:type="dxa"/>
              <w:end w:w="90" w:type="dxa"/>
            </w:tcMar>
          </w:tcPr>
          <w:p>
            <w:pPr>
              <w:spacing w:after="0"/>
            </w:pPr>
            <w:r>
              <w:rPr>
                <w:rFonts w:ascii="Arial" w:hAnsi="Arial"/>
                <w:sz w:val="16"/>
              </w:rPr>
              <w:t>Digital engagement and customer behaviour</w:t>
            </w:r>
          </w:p>
        </w:tc>
        <w:tc>
          <w:tcPr>
            <w:tcW w:type="dxa" w:w="2592"/>
            <w:vAlign w:val="top"/>
            <w:tcMar>
              <w:top w:w="90" w:type="dxa"/>
              <w:start w:w="90" w:type="dxa"/>
              <w:bottom w:w="90" w:type="dxa"/>
              <w:end w:w="90" w:type="dxa"/>
            </w:tcMar>
          </w:tcPr>
          <w:p>
            <w:pPr>
              <w:spacing w:after="0"/>
            </w:pPr>
            <w:r>
              <w:rPr>
                <w:rFonts w:ascii="Arial" w:hAnsi="Arial"/>
                <w:sz w:val="16"/>
              </w:rPr>
              <w:t>JOIN + CASE + customer-level aggregation</w:t>
            </w:r>
          </w:p>
        </w:tc>
        <w:tc>
          <w:tcPr>
            <w:tcW w:type="dxa" w:w="4608"/>
            <w:vAlign w:val="top"/>
            <w:tcMar>
              <w:top w:w="90" w:type="dxa"/>
              <w:start w:w="90" w:type="dxa"/>
              <w:bottom w:w="90" w:type="dxa"/>
              <w:end w:w="90" w:type="dxa"/>
            </w:tcMar>
          </w:tcPr>
          <w:p>
            <w:pPr>
              <w:spacing w:after="0"/>
            </w:pPr>
            <w:r>
              <w:rPr>
                <w:rFonts w:ascii="Arial" w:hAnsi="Arial"/>
                <w:sz w:val="16"/>
              </w:rPr>
              <w:t>Higher engagement is associated more clearly with value per customer than with transaction frequency.</w:t>
            </w:r>
          </w:p>
        </w:tc>
      </w:tr>
    </w:tbl>
    <w:p>
      <w:pPr>
        <w:spacing w:after="20"/>
      </w:pPr>
    </w:p>
    <w:p>
      <w:pPr>
        <w:pStyle w:val="Heading1"/>
        <w:keepNext/>
      </w:pPr>
      <w:r>
        <w:t>7. Final Python Analysis and Reproducibility Review</w:t>
      </w:r>
    </w:p>
    <w:p>
      <w:r>
        <w:t>Python was used both as an analytical tool and as an independent validation layer. Week 3 extended the exploratory analysis, while Week 4 focused on reproducibility and verification of the final results.</w:t>
      </w:r>
    </w:p>
    <w:p>
      <w:pPr>
        <w:pStyle w:val="ListBullet"/>
        <w:spacing w:after="60"/>
      </w:pPr>
      <w:r>
        <w:rPr>
          <w:rFonts w:ascii="Arial" w:hAnsi="Arial"/>
          <w:sz w:val="20"/>
        </w:rPr>
        <w:t>Monthly transaction trend analysis validated the January–March totals used in SQL and Power BI.</w:t>
      </w:r>
    </w:p>
    <w:p>
      <w:pPr>
        <w:pStyle w:val="ListBullet"/>
        <w:spacing w:after="60"/>
      </w:pPr>
      <w:r>
        <w:rPr>
          <w:rFonts w:ascii="Arial" w:hAnsi="Arial"/>
          <w:sz w:val="20"/>
        </w:rPr>
        <w:t>A channel × transaction-type failure-rate heatmap reproduced the SQL failure-rate pattern.</w:t>
      </w:r>
    </w:p>
    <w:p>
      <w:pPr>
        <w:pStyle w:val="ListBullet"/>
        <w:spacing w:after="60"/>
      </w:pPr>
      <w:r>
        <w:rPr>
          <w:rFonts w:ascii="Arial" w:hAnsi="Arial"/>
          <w:sz w:val="20"/>
        </w:rPr>
        <w:t>Customer-segment transaction-value distributions highlighted substantial within-segment variation and high-value outliers.</w:t>
      </w:r>
    </w:p>
    <w:p>
      <w:pPr>
        <w:pStyle w:val="ListBullet"/>
        <w:spacing w:after="60"/>
      </w:pPr>
      <w:r>
        <w:rPr>
          <w:rFonts w:ascii="Arial" w:hAnsi="Arial"/>
          <w:sz w:val="20"/>
        </w:rPr>
        <w:t>Risk-review analysis by amount band reproduced the same percentages observed in SQL and Power BI.</w:t>
      </w:r>
    </w:p>
    <w:p>
      <w:pPr>
        <w:pStyle w:val="ListBullet"/>
        <w:spacing w:after="60"/>
      </w:pPr>
      <w:r>
        <w:rPr>
          <w:rFonts w:ascii="Arial" w:hAnsi="Arial"/>
          <w:sz w:val="20"/>
        </w:rPr>
        <w:t>Digital engagement analysis reproduced customer-level value and frequency metrics used in the final interpretation.</w:t>
      </w:r>
    </w:p>
    <w:p>
      <w:pPr>
        <w:pStyle w:val="ListBullet"/>
        <w:spacing w:after="60"/>
      </w:pPr>
      <w:r>
        <w:rPr>
          <w:rFonts w:ascii="Arial" w:hAnsi="Arial"/>
          <w:sz w:val="20"/>
        </w:rPr>
        <w:t>The Week 4 notebook was restarted and run from beginning to end using the final cleaned datasets to confirm reproducibility.</w:t>
      </w:r>
    </w:p>
    <w:p>
      <w:pPr>
        <w:spacing w:after="80"/>
      </w:pPr>
      <w:r>
        <w:rPr>
          <w:rFonts w:ascii="Arial" w:hAnsi="Arial"/>
          <w:b/>
          <w:sz w:val="20"/>
        </w:rPr>
        <w:t xml:space="preserve">Reproducibility result: </w:t>
      </w:r>
      <w:r>
        <w:rPr>
          <w:rFonts w:ascii="Arial" w:hAnsi="Arial"/>
          <w:sz w:val="20"/>
        </w:rPr>
        <w:t>Passed. The final Python checks executed successfully and reproduced the expected analytical outputs.</w:t>
      </w:r>
    </w:p>
    <w:p>
      <w:pPr>
        <w:pStyle w:val="Heading1"/>
        <w:keepNext/>
      </w:pPr>
      <w:r>
        <w:t>8. Final Power BI Dashboard</w:t>
      </w:r>
    </w:p>
    <w:p>
      <w:r>
        <w:t>The final Power BI dashboard develops the Week 2 version into a more decision-oriented and interactive solution. Week 4 review focused on KPI accuracy, filters, titles, labels, visual consistency, drill-through and overall user experience.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024"/>
            <w:shd w:fill="1F4E79"/>
            <w:vAlign w:val="center"/>
            <w:tcMar>
              <w:top w:w="90" w:type="dxa"/>
              <w:start w:w="90" w:type="dxa"/>
              <w:bottom w:w="90" w:type="dxa"/>
              <w:end w:w="90" w:type="dxa"/>
            </w:tcMar>
          </w:tcPr>
          <w:p>
            <w:r>
              <w:rPr>
                <w:rFonts w:ascii="Arial" w:hAnsi="Arial"/>
                <w:b/>
                <w:color w:val="FFFFFF"/>
                <w:sz w:val="16"/>
              </w:rPr>
              <w:t>Dashboard page</w:t>
            </w:r>
          </w:p>
        </w:tc>
        <w:tc>
          <w:tcPr>
            <w:tcW w:type="dxa" w:w="7200"/>
            <w:shd w:fill="1F4E79"/>
            <w:vAlign w:val="center"/>
            <w:tcMar>
              <w:top w:w="90" w:type="dxa"/>
              <w:start w:w="90" w:type="dxa"/>
              <w:bottom w:w="90" w:type="dxa"/>
              <w:end w:w="90" w:type="dxa"/>
            </w:tcMar>
          </w:tcPr>
          <w:p>
            <w:r>
              <w:rPr>
                <w:rFonts w:ascii="Arial" w:hAnsi="Arial"/>
                <w:b/>
                <w:color w:val="FFFFFF"/>
                <w:sz w:val="16"/>
              </w:rPr>
              <w:t>Purpose / final content</w:t>
            </w:r>
          </w:p>
        </w:tc>
      </w:tr>
      <w:tr>
        <w:trPr>
          <w:cantSplit/>
        </w:trPr>
        <w:tc>
          <w:tcPr>
            <w:tcW w:type="dxa" w:w="3024"/>
            <w:vAlign w:val="top"/>
            <w:tcMar>
              <w:top w:w="90" w:type="dxa"/>
              <w:start w:w="90" w:type="dxa"/>
              <w:bottom w:w="90" w:type="dxa"/>
              <w:end w:w="90" w:type="dxa"/>
            </w:tcMar>
          </w:tcPr>
          <w:p>
            <w:pPr>
              <w:spacing w:after="0"/>
            </w:pPr>
            <w:r>
              <w:rPr>
                <w:rFonts w:ascii="Arial" w:hAnsi="Arial"/>
                <w:sz w:val="16"/>
              </w:rPr>
              <w:t>Executive Overview / KPI Section</w:t>
            </w:r>
          </w:p>
        </w:tc>
        <w:tc>
          <w:tcPr>
            <w:tcW w:type="dxa" w:w="7200"/>
            <w:vAlign w:val="top"/>
            <w:tcMar>
              <w:top w:w="90" w:type="dxa"/>
              <w:start w:w="90" w:type="dxa"/>
              <w:bottom w:w="90" w:type="dxa"/>
              <w:end w:w="90" w:type="dxa"/>
            </w:tcMar>
          </w:tcPr>
          <w:p>
            <w:pPr>
              <w:spacing w:after="0"/>
            </w:pPr>
            <w:r>
              <w:rPr>
                <w:rFonts w:ascii="Arial" w:hAnsi="Arial"/>
                <w:sz w:val="16"/>
              </w:rPr>
              <w:t>Core customer, transaction, value, success and risk-review KPIs with slicers.</w:t>
            </w:r>
          </w:p>
        </w:tc>
      </w:tr>
      <w:tr>
        <w:trPr>
          <w:cantSplit/>
        </w:trPr>
        <w:tc>
          <w:tcPr>
            <w:tcW w:type="dxa" w:w="3024"/>
            <w:vAlign w:val="top"/>
            <w:tcMar>
              <w:top w:w="90" w:type="dxa"/>
              <w:start w:w="90" w:type="dxa"/>
              <w:bottom w:w="90" w:type="dxa"/>
              <w:end w:w="90" w:type="dxa"/>
            </w:tcMar>
            <w:shd w:fill="F5F8FB"/>
          </w:tcPr>
          <w:p>
            <w:pPr>
              <w:spacing w:after="0"/>
            </w:pPr>
            <w:r>
              <w:rPr>
                <w:rFonts w:ascii="Arial" w:hAnsi="Arial"/>
                <w:sz w:val="16"/>
              </w:rPr>
              <w:t>Transaction Analysis I</w:t>
            </w:r>
          </w:p>
        </w:tc>
        <w:tc>
          <w:tcPr>
            <w:tcW w:type="dxa" w:w="7200"/>
            <w:vAlign w:val="top"/>
            <w:tcMar>
              <w:top w:w="90" w:type="dxa"/>
              <w:start w:w="90" w:type="dxa"/>
              <w:bottom w:w="90" w:type="dxa"/>
              <w:end w:w="90" w:type="dxa"/>
            </w:tcMar>
            <w:shd w:fill="F5F8FB"/>
          </w:tcPr>
          <w:p>
            <w:pPr>
              <w:spacing w:after="0"/>
            </w:pPr>
            <w:r>
              <w:rPr>
                <w:rFonts w:ascii="Arial" w:hAnsi="Arial"/>
                <w:sz w:val="16"/>
              </w:rPr>
              <w:t>Transaction value by type, channel activity and failure-rate matrix by channel × transaction type.</w:t>
            </w:r>
          </w:p>
        </w:tc>
      </w:tr>
      <w:tr>
        <w:trPr>
          <w:cantSplit/>
        </w:trPr>
        <w:tc>
          <w:tcPr>
            <w:tcW w:type="dxa" w:w="3024"/>
            <w:vAlign w:val="top"/>
            <w:tcMar>
              <w:top w:w="90" w:type="dxa"/>
              <w:start w:w="90" w:type="dxa"/>
              <w:bottom w:w="90" w:type="dxa"/>
              <w:end w:w="90" w:type="dxa"/>
            </w:tcMar>
          </w:tcPr>
          <w:p>
            <w:pPr>
              <w:spacing w:after="0"/>
            </w:pPr>
            <w:r>
              <w:rPr>
                <w:rFonts w:ascii="Arial" w:hAnsi="Arial"/>
                <w:sz w:val="16"/>
              </w:rPr>
              <w:t>Transaction Analysis II</w:t>
            </w:r>
          </w:p>
        </w:tc>
        <w:tc>
          <w:tcPr>
            <w:tcW w:type="dxa" w:w="7200"/>
            <w:vAlign w:val="top"/>
            <w:tcMar>
              <w:top w:w="90" w:type="dxa"/>
              <w:start w:w="90" w:type="dxa"/>
              <w:bottom w:w="90" w:type="dxa"/>
              <w:end w:w="90" w:type="dxa"/>
            </w:tcMar>
          </w:tcPr>
          <w:p>
            <w:pPr>
              <w:spacing w:after="0"/>
            </w:pPr>
            <w:r>
              <w:rPr>
                <w:rFonts w:ascii="Arial" w:hAnsi="Arial"/>
                <w:sz w:val="16"/>
              </w:rPr>
              <w:t>Transaction value by channel, transaction status, normalized segment value and monthly trend analysis.</w:t>
            </w:r>
          </w:p>
        </w:tc>
      </w:tr>
      <w:tr>
        <w:trPr>
          <w:cantSplit/>
        </w:trPr>
        <w:tc>
          <w:tcPr>
            <w:tcW w:type="dxa" w:w="3024"/>
            <w:vAlign w:val="top"/>
            <w:tcMar>
              <w:top w:w="90" w:type="dxa"/>
              <w:start w:w="90" w:type="dxa"/>
              <w:bottom w:w="90" w:type="dxa"/>
              <w:end w:w="90" w:type="dxa"/>
            </w:tcMar>
            <w:shd w:fill="F5F8FB"/>
          </w:tcPr>
          <w:p>
            <w:pPr>
              <w:spacing w:after="0"/>
            </w:pPr>
            <w:r>
              <w:rPr>
                <w:rFonts w:ascii="Arial" w:hAnsi="Arial"/>
                <w:sz w:val="16"/>
              </w:rPr>
              <w:t>Risk &amp; Operations</w:t>
            </w:r>
          </w:p>
        </w:tc>
        <w:tc>
          <w:tcPr>
            <w:tcW w:type="dxa" w:w="7200"/>
            <w:vAlign w:val="top"/>
            <w:tcMar>
              <w:top w:w="90" w:type="dxa"/>
              <w:start w:w="90" w:type="dxa"/>
              <w:bottom w:w="90" w:type="dxa"/>
              <w:end w:w="90" w:type="dxa"/>
            </w:tcMar>
            <w:shd w:fill="F5F8FB"/>
          </w:tcPr>
          <w:p>
            <w:pPr>
              <w:spacing w:after="0"/>
            </w:pPr>
            <w:r>
              <w:rPr>
                <w:rFonts w:ascii="Arial" w:hAnsi="Arial"/>
                <w:sz w:val="16"/>
              </w:rPr>
              <w:t>Risk-review rate by channel, transaction type and transaction amount band.</w:t>
            </w:r>
          </w:p>
        </w:tc>
      </w:tr>
      <w:tr>
        <w:trPr>
          <w:cantSplit/>
        </w:trPr>
        <w:tc>
          <w:tcPr>
            <w:tcW w:type="dxa" w:w="3024"/>
            <w:vAlign w:val="top"/>
            <w:tcMar>
              <w:top w:w="90" w:type="dxa"/>
              <w:start w:w="90" w:type="dxa"/>
              <w:bottom w:w="90" w:type="dxa"/>
              <w:end w:w="90" w:type="dxa"/>
            </w:tcMar>
          </w:tcPr>
          <w:p>
            <w:pPr>
              <w:spacing w:after="0"/>
            </w:pPr>
            <w:r>
              <w:rPr>
                <w:rFonts w:ascii="Arial" w:hAnsi="Arial"/>
                <w:sz w:val="16"/>
              </w:rPr>
              <w:t>Customer &amp; Segment Analysis</w:t>
            </w:r>
          </w:p>
        </w:tc>
        <w:tc>
          <w:tcPr>
            <w:tcW w:type="dxa" w:w="7200"/>
            <w:vAlign w:val="top"/>
            <w:tcMar>
              <w:top w:w="90" w:type="dxa"/>
              <w:start w:w="90" w:type="dxa"/>
              <w:bottom w:w="90" w:type="dxa"/>
              <w:end w:w="90" w:type="dxa"/>
            </w:tcMar>
          </w:tcPr>
          <w:p>
            <w:pPr>
              <w:spacing w:after="0"/>
            </w:pPr>
            <w:r>
              <w:rPr>
                <w:rFonts w:ascii="Arial" w:hAnsi="Arial"/>
                <w:sz w:val="16"/>
              </w:rPr>
              <w:t>Transactions per customer by segment and digital-engagement value/frequency analysis.</w:t>
            </w:r>
          </w:p>
        </w:tc>
      </w:tr>
      <w:tr>
        <w:trPr>
          <w:cantSplit/>
        </w:trPr>
        <w:tc>
          <w:tcPr>
            <w:tcW w:type="dxa" w:w="3024"/>
            <w:vAlign w:val="top"/>
            <w:tcMar>
              <w:top w:w="90" w:type="dxa"/>
              <w:start w:w="90" w:type="dxa"/>
              <w:bottom w:w="90" w:type="dxa"/>
              <w:end w:w="90" w:type="dxa"/>
            </w:tcMar>
            <w:shd w:fill="F5F8FB"/>
          </w:tcPr>
          <w:p>
            <w:pPr>
              <w:spacing w:after="0"/>
            </w:pPr>
            <w:r>
              <w:rPr>
                <w:rFonts w:ascii="Arial" w:hAnsi="Arial"/>
                <w:sz w:val="16"/>
              </w:rPr>
              <w:t>Customer Segment Detail</w:t>
            </w:r>
          </w:p>
        </w:tc>
        <w:tc>
          <w:tcPr>
            <w:tcW w:type="dxa" w:w="7200"/>
            <w:vAlign w:val="top"/>
            <w:tcMar>
              <w:top w:w="90" w:type="dxa"/>
              <w:start w:w="90" w:type="dxa"/>
              <w:bottom w:w="90" w:type="dxa"/>
              <w:end w:w="90" w:type="dxa"/>
            </w:tcMar>
            <w:shd w:fill="F5F8FB"/>
          </w:tcPr>
          <w:p>
            <w:pPr>
              <w:spacing w:after="0"/>
            </w:pPr>
            <w:r>
              <w:rPr>
                <w:rFonts w:ascii="Arial" w:hAnsi="Arial"/>
                <w:sz w:val="16"/>
              </w:rPr>
              <w:t>Drill-through page with segment-specific KPIs, transaction value by channel and transaction-type activity.</w:t>
            </w:r>
          </w:p>
        </w:tc>
      </w:tr>
    </w:tbl>
    <w:p>
      <w:pPr>
        <w:spacing w:after="20"/>
      </w:pPr>
    </w:p>
    <w:p>
      <w:pPr>
        <w:spacing w:after="80"/>
      </w:pPr>
      <w:r>
        <w:rPr>
          <w:rFonts w:ascii="Arial" w:hAnsi="Arial"/>
          <w:b/>
          <w:sz w:val="20"/>
        </w:rPr>
        <w:t xml:space="preserve">Final dashboard review: </w:t>
      </w:r>
      <w:r>
        <w:rPr>
          <w:rFonts w:ascii="Arial" w:hAnsi="Arial"/>
          <w:sz w:val="20"/>
        </w:rPr>
        <w:t>KPI accuracy, slicers, cross-filtering, drill-through, titles, labels, formatting and user experience were tested and passed after minor presentation refinements.</w:t>
      </w:r>
    </w:p>
    <w:p>
      <w:pPr>
        <w:pStyle w:val="Heading1"/>
        <w:keepNext/>
      </w:pPr>
      <w:r>
        <w:t>9. Final KPI Analysis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024"/>
            <w:shd w:fill="1F4E79"/>
            <w:vAlign w:val="center"/>
            <w:tcMar>
              <w:top w:w="90" w:type="dxa"/>
              <w:start w:w="90" w:type="dxa"/>
              <w:bottom w:w="90" w:type="dxa"/>
              <w:end w:w="90" w:type="dxa"/>
            </w:tcMar>
          </w:tcPr>
          <w:p>
            <w:r>
              <w:rPr>
                <w:rFonts w:ascii="Arial" w:hAnsi="Arial"/>
                <w:b/>
                <w:color w:val="FFFFFF"/>
                <w:sz w:val="16"/>
              </w:rPr>
              <w:t>KPI</w:t>
            </w:r>
          </w:p>
        </w:tc>
        <w:tc>
          <w:tcPr>
            <w:tcW w:type="dxa" w:w="2160"/>
            <w:shd w:fill="1F4E79"/>
            <w:vAlign w:val="center"/>
            <w:tcMar>
              <w:top w:w="90" w:type="dxa"/>
              <w:start w:w="90" w:type="dxa"/>
              <w:bottom w:w="90" w:type="dxa"/>
              <w:end w:w="90" w:type="dxa"/>
            </w:tcMar>
          </w:tcPr>
          <w:p>
            <w:r>
              <w:rPr>
                <w:rFonts w:ascii="Arial" w:hAnsi="Arial"/>
                <w:b/>
                <w:color w:val="FFFFFF"/>
                <w:sz w:val="16"/>
              </w:rPr>
              <w:t>Final value</w:t>
            </w:r>
          </w:p>
        </w:tc>
        <w:tc>
          <w:tcPr>
            <w:tcW w:type="dxa" w:w="5040"/>
            <w:shd w:fill="1F4E79"/>
            <w:vAlign w:val="center"/>
            <w:tcMar>
              <w:top w:w="90" w:type="dxa"/>
              <w:start w:w="90" w:type="dxa"/>
              <w:bottom w:w="90" w:type="dxa"/>
              <w:end w:w="90" w:type="dxa"/>
            </w:tcMar>
          </w:tcPr>
          <w:p>
            <w:r>
              <w:rPr>
                <w:rFonts w:ascii="Arial" w:hAnsi="Arial"/>
                <w:b/>
                <w:color w:val="FFFFFF"/>
                <w:sz w:val="16"/>
              </w:rPr>
              <w:t>Interpretation</w:t>
            </w:r>
          </w:p>
        </w:tc>
      </w:tr>
      <w:tr>
        <w:trPr>
          <w:cantSplit/>
        </w:trPr>
        <w:tc>
          <w:tcPr>
            <w:tcW w:type="dxa" w:w="3024"/>
            <w:vAlign w:val="top"/>
            <w:tcMar>
              <w:top w:w="90" w:type="dxa"/>
              <w:start w:w="90" w:type="dxa"/>
              <w:bottom w:w="90" w:type="dxa"/>
              <w:end w:w="90" w:type="dxa"/>
            </w:tcMar>
          </w:tcPr>
          <w:p>
            <w:pPr>
              <w:spacing w:after="0"/>
            </w:pPr>
            <w:r>
              <w:rPr>
                <w:rFonts w:ascii="Arial" w:hAnsi="Arial"/>
                <w:sz w:val="16"/>
              </w:rPr>
              <w:t>Total Customers</w:t>
            </w:r>
          </w:p>
        </w:tc>
        <w:tc>
          <w:tcPr>
            <w:tcW w:type="dxa" w:w="2160"/>
            <w:vAlign w:val="top"/>
            <w:tcMar>
              <w:top w:w="90" w:type="dxa"/>
              <w:start w:w="90" w:type="dxa"/>
              <w:bottom w:w="90" w:type="dxa"/>
              <w:end w:w="90" w:type="dxa"/>
            </w:tcMar>
          </w:tcPr>
          <w:p>
            <w:pPr>
              <w:spacing w:after="0"/>
            </w:pPr>
            <w:r>
              <w:rPr>
                <w:rFonts w:ascii="Arial" w:hAnsi="Arial"/>
                <w:sz w:val="16"/>
              </w:rPr>
              <w:t>1,500</w:t>
            </w:r>
          </w:p>
        </w:tc>
        <w:tc>
          <w:tcPr>
            <w:tcW w:type="dxa" w:w="5040"/>
            <w:vAlign w:val="top"/>
            <w:tcMar>
              <w:top w:w="90" w:type="dxa"/>
              <w:start w:w="90" w:type="dxa"/>
              <w:bottom w:w="90" w:type="dxa"/>
              <w:end w:w="90" w:type="dxa"/>
            </w:tcMar>
          </w:tcPr>
          <w:p>
            <w:pPr>
              <w:spacing w:after="0"/>
            </w:pPr>
            <w:r>
              <w:rPr>
                <w:rFonts w:ascii="Arial" w:hAnsi="Arial"/>
                <w:sz w:val="16"/>
              </w:rPr>
              <w:t>Final active customer population represented in the customer dataset.</w:t>
            </w:r>
          </w:p>
        </w:tc>
      </w:tr>
      <w:tr>
        <w:trPr>
          <w:cantSplit/>
        </w:trPr>
        <w:tc>
          <w:tcPr>
            <w:tcW w:type="dxa" w:w="3024"/>
            <w:vAlign w:val="top"/>
            <w:tcMar>
              <w:top w:w="90" w:type="dxa"/>
              <w:start w:w="90" w:type="dxa"/>
              <w:bottom w:w="90" w:type="dxa"/>
              <w:end w:w="90" w:type="dxa"/>
            </w:tcMar>
            <w:shd w:fill="F5F8FB"/>
          </w:tcPr>
          <w:p>
            <w:pPr>
              <w:spacing w:after="0"/>
            </w:pPr>
            <w:r>
              <w:rPr>
                <w:rFonts w:ascii="Arial" w:hAnsi="Arial"/>
                <w:sz w:val="16"/>
              </w:rPr>
              <w:t>Total Transactions</w:t>
            </w:r>
          </w:p>
        </w:tc>
        <w:tc>
          <w:tcPr>
            <w:tcW w:type="dxa" w:w="2160"/>
            <w:vAlign w:val="top"/>
            <w:tcMar>
              <w:top w:w="90" w:type="dxa"/>
              <w:start w:w="90" w:type="dxa"/>
              <w:bottom w:w="90" w:type="dxa"/>
              <w:end w:w="90" w:type="dxa"/>
            </w:tcMar>
            <w:shd w:fill="F5F8FB"/>
          </w:tcPr>
          <w:p>
            <w:pPr>
              <w:spacing w:after="0"/>
            </w:pPr>
            <w:r>
              <w:rPr>
                <w:rFonts w:ascii="Arial" w:hAnsi="Arial"/>
                <w:sz w:val="16"/>
              </w:rPr>
              <w:t>12,000</w:t>
            </w:r>
          </w:p>
        </w:tc>
        <w:tc>
          <w:tcPr>
            <w:tcW w:type="dxa" w:w="5040"/>
            <w:vAlign w:val="top"/>
            <w:tcMar>
              <w:top w:w="90" w:type="dxa"/>
              <w:start w:w="90" w:type="dxa"/>
              <w:bottom w:w="90" w:type="dxa"/>
              <w:end w:w="90" w:type="dxa"/>
            </w:tcMar>
            <w:shd w:fill="F5F8FB"/>
          </w:tcPr>
          <w:p>
            <w:pPr>
              <w:spacing w:after="0"/>
            </w:pPr>
            <w:r>
              <w:rPr>
                <w:rFonts w:ascii="Arial" w:hAnsi="Arial"/>
                <w:sz w:val="16"/>
              </w:rPr>
              <w:t>Total transactions analysed for January–March 2026.</w:t>
            </w:r>
          </w:p>
        </w:tc>
      </w:tr>
      <w:tr>
        <w:trPr>
          <w:cantSplit/>
        </w:trPr>
        <w:tc>
          <w:tcPr>
            <w:tcW w:type="dxa" w:w="3024"/>
            <w:vAlign w:val="top"/>
            <w:tcMar>
              <w:top w:w="90" w:type="dxa"/>
              <w:start w:w="90" w:type="dxa"/>
              <w:bottom w:w="90" w:type="dxa"/>
              <w:end w:w="90" w:type="dxa"/>
            </w:tcMar>
          </w:tcPr>
          <w:p>
            <w:pPr>
              <w:spacing w:after="0"/>
            </w:pPr>
            <w:r>
              <w:rPr>
                <w:rFonts w:ascii="Arial" w:hAnsi="Arial"/>
                <w:sz w:val="16"/>
              </w:rPr>
              <w:t>Total Transaction Value</w:t>
            </w:r>
          </w:p>
        </w:tc>
        <w:tc>
          <w:tcPr>
            <w:tcW w:type="dxa" w:w="2160"/>
            <w:vAlign w:val="top"/>
            <w:tcMar>
              <w:top w:w="90" w:type="dxa"/>
              <w:start w:w="90" w:type="dxa"/>
              <w:bottom w:w="90" w:type="dxa"/>
              <w:end w:w="90" w:type="dxa"/>
            </w:tcMar>
          </w:tcPr>
          <w:p>
            <w:pPr>
              <w:spacing w:after="0"/>
            </w:pPr>
            <w:r>
              <w:rPr>
                <w:rFonts w:ascii="Arial" w:hAnsi="Arial"/>
                <w:sz w:val="16"/>
              </w:rPr>
              <w:t>NGN 560.48M</w:t>
            </w:r>
          </w:p>
        </w:tc>
        <w:tc>
          <w:tcPr>
            <w:tcW w:type="dxa" w:w="5040"/>
            <w:vAlign w:val="top"/>
            <w:tcMar>
              <w:top w:w="90" w:type="dxa"/>
              <w:start w:w="90" w:type="dxa"/>
              <w:bottom w:w="90" w:type="dxa"/>
              <w:end w:w="90" w:type="dxa"/>
            </w:tcMar>
          </w:tcPr>
          <w:p>
            <w:pPr>
              <w:spacing w:after="0"/>
            </w:pPr>
            <w:r>
              <w:rPr>
                <w:rFonts w:ascii="Arial" w:hAnsi="Arial"/>
                <w:sz w:val="16"/>
              </w:rPr>
              <w:t>Aggregate transaction value across the final transaction dataset.</w:t>
            </w:r>
          </w:p>
        </w:tc>
      </w:tr>
      <w:tr>
        <w:trPr>
          <w:cantSplit/>
        </w:trPr>
        <w:tc>
          <w:tcPr>
            <w:tcW w:type="dxa" w:w="3024"/>
            <w:vAlign w:val="top"/>
            <w:tcMar>
              <w:top w:w="90" w:type="dxa"/>
              <w:start w:w="90" w:type="dxa"/>
              <w:bottom w:w="90" w:type="dxa"/>
              <w:end w:w="90" w:type="dxa"/>
            </w:tcMar>
            <w:shd w:fill="F5F8FB"/>
          </w:tcPr>
          <w:p>
            <w:pPr>
              <w:spacing w:after="0"/>
            </w:pPr>
            <w:r>
              <w:rPr>
                <w:rFonts w:ascii="Arial" w:hAnsi="Arial"/>
                <w:sz w:val="16"/>
              </w:rPr>
              <w:t>Average Transaction Value</w:t>
            </w:r>
          </w:p>
        </w:tc>
        <w:tc>
          <w:tcPr>
            <w:tcW w:type="dxa" w:w="2160"/>
            <w:vAlign w:val="top"/>
            <w:tcMar>
              <w:top w:w="90" w:type="dxa"/>
              <w:start w:w="90" w:type="dxa"/>
              <w:bottom w:w="90" w:type="dxa"/>
              <w:end w:w="90" w:type="dxa"/>
            </w:tcMar>
            <w:shd w:fill="F5F8FB"/>
          </w:tcPr>
          <w:p>
            <w:pPr>
              <w:spacing w:after="0"/>
            </w:pPr>
            <w:r>
              <w:rPr>
                <w:rFonts w:ascii="Arial" w:hAnsi="Arial"/>
                <w:sz w:val="16"/>
              </w:rPr>
              <w:t>≈ NGN 46,706</w:t>
            </w:r>
          </w:p>
        </w:tc>
        <w:tc>
          <w:tcPr>
            <w:tcW w:type="dxa" w:w="5040"/>
            <w:vAlign w:val="top"/>
            <w:tcMar>
              <w:top w:w="90" w:type="dxa"/>
              <w:start w:w="90" w:type="dxa"/>
              <w:bottom w:w="90" w:type="dxa"/>
              <w:end w:w="90" w:type="dxa"/>
            </w:tcMar>
            <w:shd w:fill="F5F8FB"/>
          </w:tcPr>
          <w:p>
            <w:pPr>
              <w:spacing w:after="0"/>
            </w:pPr>
            <w:r>
              <w:rPr>
                <w:rFonts w:ascii="Arial" w:hAnsi="Arial"/>
                <w:sz w:val="16"/>
              </w:rPr>
              <w:t>Average transaction amount across all analysed transactions.</w:t>
            </w:r>
          </w:p>
        </w:tc>
      </w:tr>
      <w:tr>
        <w:trPr>
          <w:cantSplit/>
        </w:trPr>
        <w:tc>
          <w:tcPr>
            <w:tcW w:type="dxa" w:w="3024"/>
            <w:vAlign w:val="top"/>
            <w:tcMar>
              <w:top w:w="90" w:type="dxa"/>
              <w:start w:w="90" w:type="dxa"/>
              <w:bottom w:w="90" w:type="dxa"/>
              <w:end w:w="90" w:type="dxa"/>
            </w:tcMar>
          </w:tcPr>
          <w:p>
            <w:pPr>
              <w:spacing w:after="0"/>
            </w:pPr>
            <w:r>
              <w:rPr>
                <w:rFonts w:ascii="Arial" w:hAnsi="Arial"/>
                <w:sz w:val="16"/>
              </w:rPr>
              <w:t>Transaction Success Rate</w:t>
            </w:r>
          </w:p>
        </w:tc>
        <w:tc>
          <w:tcPr>
            <w:tcW w:type="dxa" w:w="2160"/>
            <w:vAlign w:val="top"/>
            <w:tcMar>
              <w:top w:w="90" w:type="dxa"/>
              <w:start w:w="90" w:type="dxa"/>
              <w:bottom w:w="90" w:type="dxa"/>
              <w:end w:w="90" w:type="dxa"/>
            </w:tcMar>
          </w:tcPr>
          <w:p>
            <w:pPr>
              <w:spacing w:after="0"/>
            </w:pPr>
            <w:r>
              <w:rPr>
                <w:rFonts w:ascii="Arial" w:hAnsi="Arial"/>
                <w:sz w:val="16"/>
              </w:rPr>
              <w:t>90.47%</w:t>
            </w:r>
          </w:p>
        </w:tc>
        <w:tc>
          <w:tcPr>
            <w:tcW w:type="dxa" w:w="5040"/>
            <w:vAlign w:val="top"/>
            <w:tcMar>
              <w:top w:w="90" w:type="dxa"/>
              <w:start w:w="90" w:type="dxa"/>
              <w:bottom w:w="90" w:type="dxa"/>
              <w:end w:w="90" w:type="dxa"/>
            </w:tcMar>
          </w:tcPr>
          <w:p>
            <w:pPr>
              <w:spacing w:after="0"/>
            </w:pPr>
            <w:r>
              <w:rPr>
                <w:rFonts w:ascii="Arial" w:hAnsi="Arial"/>
                <w:sz w:val="16"/>
              </w:rPr>
              <w:t>Share of transactions with Successful status.</w:t>
            </w:r>
          </w:p>
        </w:tc>
      </w:tr>
      <w:tr>
        <w:trPr>
          <w:cantSplit/>
        </w:trPr>
        <w:tc>
          <w:tcPr>
            <w:tcW w:type="dxa" w:w="3024"/>
            <w:vAlign w:val="top"/>
            <w:tcMar>
              <w:top w:w="90" w:type="dxa"/>
              <w:start w:w="90" w:type="dxa"/>
              <w:bottom w:w="90" w:type="dxa"/>
              <w:end w:w="90" w:type="dxa"/>
            </w:tcMar>
            <w:shd w:fill="F5F8FB"/>
          </w:tcPr>
          <w:p>
            <w:pPr>
              <w:spacing w:after="0"/>
            </w:pPr>
            <w:r>
              <w:rPr>
                <w:rFonts w:ascii="Arial" w:hAnsi="Arial"/>
                <w:sz w:val="16"/>
              </w:rPr>
              <w:t>Risk Review Rate</w:t>
            </w:r>
          </w:p>
        </w:tc>
        <w:tc>
          <w:tcPr>
            <w:tcW w:type="dxa" w:w="2160"/>
            <w:vAlign w:val="top"/>
            <w:tcMar>
              <w:top w:w="90" w:type="dxa"/>
              <w:start w:w="90" w:type="dxa"/>
              <w:bottom w:w="90" w:type="dxa"/>
              <w:end w:w="90" w:type="dxa"/>
            </w:tcMar>
            <w:shd w:fill="F5F8FB"/>
          </w:tcPr>
          <w:p>
            <w:pPr>
              <w:spacing w:after="0"/>
            </w:pPr>
            <w:r>
              <w:rPr>
                <w:rFonts w:ascii="Arial" w:hAnsi="Arial"/>
                <w:sz w:val="16"/>
              </w:rPr>
              <w:t>19.60%</w:t>
            </w:r>
          </w:p>
        </w:tc>
        <w:tc>
          <w:tcPr>
            <w:tcW w:type="dxa" w:w="5040"/>
            <w:vAlign w:val="top"/>
            <w:tcMar>
              <w:top w:w="90" w:type="dxa"/>
              <w:start w:w="90" w:type="dxa"/>
              <w:bottom w:w="90" w:type="dxa"/>
              <w:end w:w="90" w:type="dxa"/>
            </w:tcMar>
            <w:shd w:fill="F5F8FB"/>
          </w:tcPr>
          <w:p>
            <w:pPr>
              <w:spacing w:after="0"/>
            </w:pPr>
            <w:r>
              <w:rPr>
                <w:rFonts w:ascii="Arial" w:hAnsi="Arial"/>
                <w:sz w:val="16"/>
              </w:rPr>
              <w:t>Share of transactions selected for the synthetic risk-review indicator.</w:t>
            </w:r>
          </w:p>
        </w:tc>
      </w:tr>
    </w:tbl>
    <w:p>
      <w:pPr>
        <w:spacing w:after="20"/>
      </w:pPr>
    </w:p>
    <w:p>
      <w:r>
        <w:t>Week 3 and Week 4 analysis also introduced normalized and diagnostic KPIs such as transaction value per customer, transactions per customer, failure rates by channel/transaction type, month-over-month changes and risk-review rates by amount band. These provide more decision value than relying only on overall totals.</w:t>
      </w:r>
    </w:p>
    <w:p>
      <w:pPr>
        <w:pStyle w:val="Heading1"/>
        <w:keepNext/>
      </w:pPr>
      <w:r>
        <w:t>10. Final Business Insights and Recommendations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448"/>
            <w:shd w:fill="1F4E79"/>
            <w:vAlign w:val="center"/>
            <w:tcMar>
              <w:top w:w="90" w:type="dxa"/>
              <w:start w:w="90" w:type="dxa"/>
              <w:bottom w:w="90" w:type="dxa"/>
              <w:end w:w="90" w:type="dxa"/>
            </w:tcMar>
          </w:tcPr>
          <w:p>
            <w:r>
              <w:rPr>
                <w:rFonts w:ascii="Arial" w:hAnsi="Arial"/>
                <w:b/>
                <w:color w:val="FFFFFF"/>
                <w:sz w:val="15"/>
              </w:rPr>
              <w:t>Finding</w:t>
            </w:r>
          </w:p>
        </w:tc>
        <w:tc>
          <w:tcPr>
            <w:tcW w:type="dxa" w:w="5040"/>
            <w:shd w:fill="1F4E79"/>
            <w:vAlign w:val="center"/>
            <w:tcMar>
              <w:top w:w="90" w:type="dxa"/>
              <w:start w:w="90" w:type="dxa"/>
              <w:bottom w:w="90" w:type="dxa"/>
              <w:end w:w="90" w:type="dxa"/>
            </w:tcMar>
          </w:tcPr>
          <w:p>
            <w:r>
              <w:rPr>
                <w:rFonts w:ascii="Arial" w:hAnsi="Arial"/>
                <w:b/>
                <w:color w:val="FFFFFF"/>
                <w:sz w:val="15"/>
              </w:rPr>
              <w:t>Evidence</w:t>
            </w:r>
          </w:p>
        </w:tc>
        <w:tc>
          <w:tcPr>
            <w:tcW w:type="dxa" w:w="3312"/>
            <w:shd w:fill="1F4E79"/>
            <w:vAlign w:val="center"/>
            <w:tcMar>
              <w:top w:w="90" w:type="dxa"/>
              <w:start w:w="90" w:type="dxa"/>
              <w:bottom w:w="90" w:type="dxa"/>
              <w:end w:w="90" w:type="dxa"/>
            </w:tcMar>
          </w:tcPr>
          <w:p>
            <w:r>
              <w:rPr>
                <w:rFonts w:ascii="Arial" w:hAnsi="Arial"/>
                <w:b/>
                <w:color w:val="FFFFFF"/>
                <w:sz w:val="15"/>
              </w:rPr>
              <w:t>Recommended action</w:t>
            </w:r>
          </w:p>
        </w:tc>
      </w:tr>
      <w:tr>
        <w:trPr>
          <w:cantSplit/>
        </w:trPr>
        <w:tc>
          <w:tcPr>
            <w:tcW w:type="dxa" w:w="2448"/>
            <w:vAlign w:val="top"/>
            <w:tcMar>
              <w:top w:w="90" w:type="dxa"/>
              <w:start w:w="90" w:type="dxa"/>
              <w:bottom w:w="90" w:type="dxa"/>
              <w:end w:w="90" w:type="dxa"/>
            </w:tcMar>
          </w:tcPr>
          <w:p>
            <w:pPr>
              <w:spacing w:after="0"/>
            </w:pPr>
            <w:r>
              <w:rPr>
                <w:rFonts w:ascii="Arial" w:hAnsi="Arial"/>
                <w:sz w:val="15"/>
              </w:rPr>
              <w:t>Monthly performance</w:t>
            </w:r>
          </w:p>
        </w:tc>
        <w:tc>
          <w:tcPr>
            <w:tcW w:type="dxa" w:w="5040"/>
            <w:vAlign w:val="top"/>
            <w:tcMar>
              <w:top w:w="90" w:type="dxa"/>
              <w:start w:w="90" w:type="dxa"/>
              <w:bottom w:w="90" w:type="dxa"/>
              <w:end w:w="90" w:type="dxa"/>
            </w:tcMar>
          </w:tcPr>
          <w:p>
            <w:pPr>
              <w:spacing w:after="0"/>
            </w:pPr>
            <w:r>
              <w:rPr>
                <w:rFonts w:ascii="Arial" w:hAnsi="Arial"/>
                <w:sz w:val="15"/>
              </w:rPr>
              <w:t>January recorded 4,133 transactions worth NGN 188.49M; February fell to 3,734 and NGN 175.79M; March recovered to 4,133 and NGN 196.20M.</w:t>
            </w:r>
          </w:p>
        </w:tc>
        <w:tc>
          <w:tcPr>
            <w:tcW w:type="dxa" w:w="3312"/>
            <w:vAlign w:val="top"/>
            <w:tcMar>
              <w:top w:w="90" w:type="dxa"/>
              <w:start w:w="90" w:type="dxa"/>
              <w:bottom w:w="90" w:type="dxa"/>
              <w:end w:w="90" w:type="dxa"/>
            </w:tcMar>
          </w:tcPr>
          <w:p>
            <w:pPr>
              <w:spacing w:after="0"/>
            </w:pPr>
            <w:r>
              <w:rPr>
                <w:rFonts w:ascii="Arial" w:hAnsi="Arial"/>
                <w:sz w:val="15"/>
              </w:rPr>
              <w:t>Monitor month-over-month changes and investigate material movements by channel, transaction type and segment.</w:t>
            </w:r>
          </w:p>
        </w:tc>
      </w:tr>
      <w:tr>
        <w:trPr>
          <w:cantSplit/>
        </w:trPr>
        <w:tc>
          <w:tcPr>
            <w:tcW w:type="dxa" w:w="2448"/>
            <w:vAlign w:val="top"/>
            <w:tcMar>
              <w:top w:w="90" w:type="dxa"/>
              <w:start w:w="90" w:type="dxa"/>
              <w:bottom w:w="90" w:type="dxa"/>
              <w:end w:w="90" w:type="dxa"/>
            </w:tcMar>
            <w:shd w:fill="F5F8FB"/>
          </w:tcPr>
          <w:p>
            <w:pPr>
              <w:spacing w:after="0"/>
            </w:pPr>
            <w:r>
              <w:rPr>
                <w:rFonts w:ascii="Arial" w:hAnsi="Arial"/>
                <w:sz w:val="15"/>
              </w:rPr>
              <w:t>High-value risk-review concentration</w:t>
            </w:r>
          </w:p>
        </w:tc>
        <w:tc>
          <w:tcPr>
            <w:tcW w:type="dxa" w:w="5040"/>
            <w:vAlign w:val="top"/>
            <w:tcMar>
              <w:top w:w="90" w:type="dxa"/>
              <w:start w:w="90" w:type="dxa"/>
              <w:bottom w:w="90" w:type="dxa"/>
              <w:end w:w="90" w:type="dxa"/>
            </w:tcMar>
            <w:shd w:fill="F5F8FB"/>
          </w:tcPr>
          <w:p>
            <w:pPr>
              <w:spacing w:after="0"/>
            </w:pPr>
            <w:r>
              <w:rPr>
                <w:rFonts w:ascii="Arial" w:hAnsi="Arial"/>
                <w:sz w:val="15"/>
              </w:rPr>
              <w:t>Risk-review rate increases from about 17–22% in lower amount bands to 40.54% for transactions of NGN 200K and above.</w:t>
            </w:r>
          </w:p>
        </w:tc>
        <w:tc>
          <w:tcPr>
            <w:tcW w:type="dxa" w:w="3312"/>
            <w:vAlign w:val="top"/>
            <w:tcMar>
              <w:top w:w="90" w:type="dxa"/>
              <w:start w:w="90" w:type="dxa"/>
              <w:bottom w:w="90" w:type="dxa"/>
              <w:end w:w="90" w:type="dxa"/>
            </w:tcMar>
            <w:shd w:fill="F5F8FB"/>
          </w:tcPr>
          <w:p>
            <w:pPr>
              <w:spacing w:after="0"/>
            </w:pPr>
            <w:r>
              <w:rPr>
                <w:rFonts w:ascii="Arial" w:hAnsi="Arial"/>
                <w:sz w:val="15"/>
              </w:rPr>
              <w:t>Maintain enhanced review attention for high-value transactions while periodically validating review thresholds.</w:t>
            </w:r>
          </w:p>
        </w:tc>
      </w:tr>
      <w:tr>
        <w:trPr>
          <w:cantSplit/>
        </w:trPr>
        <w:tc>
          <w:tcPr>
            <w:tcW w:type="dxa" w:w="2448"/>
            <w:vAlign w:val="top"/>
            <w:tcMar>
              <w:top w:w="90" w:type="dxa"/>
              <w:start w:w="90" w:type="dxa"/>
              <w:bottom w:w="90" w:type="dxa"/>
              <w:end w:w="90" w:type="dxa"/>
            </w:tcMar>
          </w:tcPr>
          <w:p>
            <w:pPr>
              <w:spacing w:after="0"/>
            </w:pPr>
            <w:r>
              <w:rPr>
                <w:rFonts w:ascii="Arial" w:hAnsi="Arial"/>
                <w:sz w:val="15"/>
              </w:rPr>
              <w:t>Operational failure hotspots</w:t>
            </w:r>
          </w:p>
        </w:tc>
        <w:tc>
          <w:tcPr>
            <w:tcW w:type="dxa" w:w="5040"/>
            <w:vAlign w:val="top"/>
            <w:tcMar>
              <w:top w:w="90" w:type="dxa"/>
              <w:start w:w="90" w:type="dxa"/>
              <w:bottom w:w="90" w:type="dxa"/>
              <w:end w:w="90" w:type="dxa"/>
            </w:tcMar>
          </w:tcPr>
          <w:p>
            <w:pPr>
              <w:spacing w:after="0"/>
            </w:pPr>
            <w:r>
              <w:rPr>
                <w:rFonts w:ascii="Arial" w:hAnsi="Arial"/>
                <w:sz w:val="15"/>
              </w:rPr>
              <w:t>POS Bill Payment recorded a 7.22% failure rate and USSD Transfer 7.20%; Mobile App Transfer generated 93 failures because of high volume.</w:t>
            </w:r>
          </w:p>
        </w:tc>
        <w:tc>
          <w:tcPr>
            <w:tcW w:type="dxa" w:w="3312"/>
            <w:vAlign w:val="top"/>
            <w:tcMar>
              <w:top w:w="90" w:type="dxa"/>
              <w:start w:w="90" w:type="dxa"/>
              <w:bottom w:w="90" w:type="dxa"/>
              <w:end w:w="90" w:type="dxa"/>
            </w:tcMar>
          </w:tcPr>
          <w:p>
            <w:pPr>
              <w:spacing w:after="0"/>
            </w:pPr>
            <w:r>
              <w:rPr>
                <w:rFonts w:ascii="Arial" w:hAnsi="Arial"/>
                <w:sz w:val="15"/>
              </w:rPr>
              <w:t>Monitor both failure percentage and absolute failure count when prioritizing operational investigation.</w:t>
            </w:r>
          </w:p>
        </w:tc>
      </w:tr>
      <w:tr>
        <w:trPr>
          <w:cantSplit/>
        </w:trPr>
        <w:tc>
          <w:tcPr>
            <w:tcW w:type="dxa" w:w="2448"/>
            <w:vAlign w:val="top"/>
            <w:tcMar>
              <w:top w:w="90" w:type="dxa"/>
              <w:start w:w="90" w:type="dxa"/>
              <w:bottom w:w="90" w:type="dxa"/>
              <w:end w:w="90" w:type="dxa"/>
            </w:tcMar>
            <w:shd w:fill="F5F8FB"/>
          </w:tcPr>
          <w:p>
            <w:pPr>
              <w:spacing w:after="0"/>
            </w:pPr>
            <w:r>
              <w:rPr>
                <w:rFonts w:ascii="Arial" w:hAnsi="Arial"/>
                <w:sz w:val="15"/>
              </w:rPr>
              <w:t>Segment performance after normalization</w:t>
            </w:r>
          </w:p>
        </w:tc>
        <w:tc>
          <w:tcPr>
            <w:tcW w:type="dxa" w:w="5040"/>
            <w:vAlign w:val="top"/>
            <w:tcMar>
              <w:top w:w="90" w:type="dxa"/>
              <w:start w:w="90" w:type="dxa"/>
              <w:bottom w:w="90" w:type="dxa"/>
              <w:end w:w="90" w:type="dxa"/>
            </w:tcMar>
            <w:shd w:fill="F5F8FB"/>
          </w:tcPr>
          <w:p>
            <w:pPr>
              <w:spacing w:after="0"/>
            </w:pPr>
            <w:r>
              <w:rPr>
                <w:rFonts w:ascii="Arial" w:hAnsi="Arial"/>
                <w:sz w:val="15"/>
              </w:rPr>
              <w:t>SME generated the highest transaction value per customer (NGN 387,923.02), while Student customers had the highest frequency (8.23 transactions/customer).</w:t>
            </w:r>
          </w:p>
        </w:tc>
        <w:tc>
          <w:tcPr>
            <w:tcW w:type="dxa" w:w="3312"/>
            <w:vAlign w:val="top"/>
            <w:tcMar>
              <w:top w:w="90" w:type="dxa"/>
              <w:start w:w="90" w:type="dxa"/>
              <w:bottom w:w="90" w:type="dxa"/>
              <w:end w:w="90" w:type="dxa"/>
            </w:tcMar>
            <w:shd w:fill="F5F8FB"/>
          </w:tcPr>
          <w:p>
            <w:pPr>
              <w:spacing w:after="0"/>
            </w:pPr>
            <w:r>
              <w:rPr>
                <w:rFonts w:ascii="Arial" w:hAnsi="Arial"/>
                <w:sz w:val="15"/>
              </w:rPr>
              <w:t>Use normalized segment KPIs alongside totals when evaluating segment performance.</w:t>
            </w:r>
          </w:p>
        </w:tc>
      </w:tr>
      <w:tr>
        <w:trPr>
          <w:cantSplit/>
        </w:trPr>
        <w:tc>
          <w:tcPr>
            <w:tcW w:type="dxa" w:w="2448"/>
            <w:vAlign w:val="top"/>
            <w:tcMar>
              <w:top w:w="90" w:type="dxa"/>
              <w:start w:w="90" w:type="dxa"/>
              <w:bottom w:w="90" w:type="dxa"/>
              <w:end w:w="90" w:type="dxa"/>
            </w:tcMar>
          </w:tcPr>
          <w:p>
            <w:pPr>
              <w:spacing w:after="0"/>
            </w:pPr>
            <w:r>
              <w:rPr>
                <w:rFonts w:ascii="Arial" w:hAnsi="Arial"/>
                <w:sz w:val="15"/>
              </w:rPr>
              <w:t>Digital engagement</w:t>
            </w:r>
          </w:p>
        </w:tc>
        <w:tc>
          <w:tcPr>
            <w:tcW w:type="dxa" w:w="5040"/>
            <w:vAlign w:val="top"/>
            <w:tcMar>
              <w:top w:w="90" w:type="dxa"/>
              <w:start w:w="90" w:type="dxa"/>
              <w:bottom w:w="90" w:type="dxa"/>
              <w:end w:w="90" w:type="dxa"/>
            </w:tcMar>
          </w:tcPr>
          <w:p>
            <w:pPr>
              <w:spacing w:after="0"/>
            </w:pPr>
            <w:r>
              <w:rPr>
                <w:rFonts w:ascii="Arial" w:hAnsi="Arial"/>
                <w:sz w:val="15"/>
              </w:rPr>
              <w:t>High-engagement customers generated NGN 379,724.15 per customer and 8.12 transactions/customer; frequency differences across engagement levels were modest.</w:t>
            </w:r>
          </w:p>
        </w:tc>
        <w:tc>
          <w:tcPr>
            <w:tcW w:type="dxa" w:w="3312"/>
            <w:vAlign w:val="top"/>
            <w:tcMar>
              <w:top w:w="90" w:type="dxa"/>
              <w:start w:w="90" w:type="dxa"/>
              <w:bottom w:w="90" w:type="dxa"/>
              <w:end w:w="90" w:type="dxa"/>
            </w:tcMar>
          </w:tcPr>
          <w:p>
            <w:pPr>
              <w:spacing w:after="0"/>
            </w:pPr>
            <w:r>
              <w:rPr>
                <w:rFonts w:ascii="Arial" w:hAnsi="Arial"/>
                <w:sz w:val="15"/>
              </w:rPr>
              <w:t>Use digital engagement alongside segment, transaction value and frequency rather than as a stand-alone explanation of customer behaviour.</w:t>
            </w:r>
          </w:p>
        </w:tc>
      </w:tr>
    </w:tbl>
    <w:p>
      <w:pPr>
        <w:spacing w:after="20"/>
      </w:pPr>
    </w:p>
    <w:p>
      <w:pPr>
        <w:pStyle w:val="Heading1"/>
        <w:keepNext/>
      </w:pPr>
      <w:r>
        <w:t>11. Testing, Validation and Refinement Evidence</w:t>
      </w:r>
    </w:p>
    <w:p>
      <w:r>
        <w:t>Week 4 followed the required final-stage logic: Final Output → Test → Finding → Refinement → Re-test → Final Result. The strongest checks are summarised below.</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160"/>
            <w:shd w:fill="1F4E79"/>
            <w:vAlign w:val="center"/>
            <w:tcMar>
              <w:top w:w="90" w:type="dxa"/>
              <w:start w:w="90" w:type="dxa"/>
              <w:bottom w:w="90" w:type="dxa"/>
              <w:end w:w="90" w:type="dxa"/>
            </w:tcMar>
          </w:tcPr>
          <w:p>
            <w:r>
              <w:rPr>
                <w:rFonts w:ascii="Arial" w:hAnsi="Arial"/>
                <w:b/>
                <w:color w:val="FFFFFF"/>
                <w:sz w:val="14"/>
              </w:rPr>
              <w:t>Test area</w:t>
            </w:r>
          </w:p>
        </w:tc>
        <w:tc>
          <w:tcPr>
            <w:tcW w:type="dxa" w:w="3744"/>
            <w:shd w:fill="1F4E79"/>
            <w:vAlign w:val="center"/>
            <w:tcMar>
              <w:top w:w="90" w:type="dxa"/>
              <w:start w:w="90" w:type="dxa"/>
              <w:bottom w:w="90" w:type="dxa"/>
              <w:end w:w="90" w:type="dxa"/>
            </w:tcMar>
          </w:tcPr>
          <w:p>
            <w:r>
              <w:rPr>
                <w:rFonts w:ascii="Arial" w:hAnsi="Arial"/>
                <w:b/>
                <w:color w:val="FFFFFF"/>
                <w:sz w:val="14"/>
              </w:rPr>
              <w:t>Finding</w:t>
            </w:r>
          </w:p>
        </w:tc>
        <w:tc>
          <w:tcPr>
            <w:tcW w:type="dxa" w:w="3312"/>
            <w:shd w:fill="1F4E79"/>
            <w:vAlign w:val="center"/>
            <w:tcMar>
              <w:top w:w="90" w:type="dxa"/>
              <w:start w:w="90" w:type="dxa"/>
              <w:bottom w:w="90" w:type="dxa"/>
              <w:end w:w="90" w:type="dxa"/>
            </w:tcMar>
          </w:tcPr>
          <w:p>
            <w:r>
              <w:rPr>
                <w:rFonts w:ascii="Arial" w:hAnsi="Arial"/>
                <w:b/>
                <w:color w:val="FFFFFF"/>
                <w:sz w:val="14"/>
              </w:rPr>
              <w:t>Refinement / action</w:t>
            </w:r>
          </w:p>
        </w:tc>
        <w:tc>
          <w:tcPr>
            <w:tcW w:type="dxa" w:w="1152"/>
            <w:shd w:fill="1F4E79"/>
            <w:vAlign w:val="center"/>
            <w:tcMar>
              <w:top w:w="90" w:type="dxa"/>
              <w:start w:w="90" w:type="dxa"/>
              <w:bottom w:w="90" w:type="dxa"/>
              <w:end w:w="90" w:type="dxa"/>
            </w:tcMar>
          </w:tcPr>
          <w:p>
            <w:r>
              <w:rPr>
                <w:rFonts w:ascii="Arial" w:hAnsi="Arial"/>
                <w:b/>
                <w:color w:val="FFFFFF"/>
                <w:sz w:val="14"/>
              </w:rPr>
              <w:t>Final result</w:t>
            </w:r>
          </w:p>
        </w:tc>
      </w:tr>
      <w:tr>
        <w:trPr>
          <w:cantSplit/>
        </w:trPr>
        <w:tc>
          <w:tcPr>
            <w:tcW w:type="dxa" w:w="2160"/>
            <w:vAlign w:val="top"/>
            <w:tcMar>
              <w:top w:w="90" w:type="dxa"/>
              <w:start w:w="90" w:type="dxa"/>
              <w:bottom w:w="90" w:type="dxa"/>
              <w:end w:w="90" w:type="dxa"/>
            </w:tcMar>
          </w:tcPr>
          <w:p>
            <w:pPr>
              <w:spacing w:after="0"/>
            </w:pPr>
            <w:r>
              <w:rPr>
                <w:rFonts w:ascii="Arial" w:hAnsi="Arial"/>
                <w:sz w:val="14"/>
              </w:rPr>
              <w:t>Dataset structure and quality</w:t>
            </w:r>
          </w:p>
        </w:tc>
        <w:tc>
          <w:tcPr>
            <w:tcW w:type="dxa" w:w="3744"/>
            <w:vAlign w:val="top"/>
            <w:tcMar>
              <w:top w:w="90" w:type="dxa"/>
              <w:start w:w="90" w:type="dxa"/>
              <w:bottom w:w="90" w:type="dxa"/>
              <w:end w:w="90" w:type="dxa"/>
            </w:tcMar>
          </w:tcPr>
          <w:p>
            <w:pPr>
              <w:spacing w:after="0"/>
            </w:pPr>
            <w:r>
              <w:rPr>
                <w:rFonts w:ascii="Arial" w:hAnsi="Arial"/>
                <w:sz w:val="14"/>
              </w:rPr>
              <w:t>Expected row counts, unique IDs, no unresolved nulls, valid referential integrity and positive amounts.</w:t>
            </w:r>
          </w:p>
        </w:tc>
        <w:tc>
          <w:tcPr>
            <w:tcW w:type="dxa" w:w="3312"/>
            <w:vAlign w:val="top"/>
            <w:tcMar>
              <w:top w:w="90" w:type="dxa"/>
              <w:start w:w="90" w:type="dxa"/>
              <w:bottom w:w="90" w:type="dxa"/>
              <w:end w:w="90" w:type="dxa"/>
            </w:tcMar>
          </w:tcPr>
          <w:p>
            <w:pPr>
              <w:spacing w:after="0"/>
            </w:pPr>
            <w:r>
              <w:rPr>
                <w:rFonts w:ascii="Arial" w:hAnsi="Arial"/>
                <w:sz w:val="14"/>
              </w:rPr>
              <w:t>No structural correction required; final checks were documented.</w:t>
            </w:r>
          </w:p>
        </w:tc>
        <w:tc>
          <w:tcPr>
            <w:tcW w:type="dxa" w:w="1152"/>
            <w:vAlign w:val="top"/>
            <w:tcMar>
              <w:top w:w="90" w:type="dxa"/>
              <w:start w:w="90" w:type="dxa"/>
              <w:bottom w:w="90" w:type="dxa"/>
              <w:end w:w="90" w:type="dxa"/>
            </w:tcMar>
          </w:tcPr>
          <w:p>
            <w:pPr>
              <w:spacing w:after="0"/>
            </w:pPr>
            <w:r>
              <w:rPr>
                <w:rFonts w:ascii="Arial" w:hAnsi="Arial"/>
                <w:sz w:val="14"/>
              </w:rPr>
              <w:t>Passed</w:t>
            </w:r>
          </w:p>
        </w:tc>
      </w:tr>
      <w:tr>
        <w:trPr>
          <w:cantSplit/>
        </w:trPr>
        <w:tc>
          <w:tcPr>
            <w:tcW w:type="dxa" w:w="2160"/>
            <w:vAlign w:val="top"/>
            <w:tcMar>
              <w:top w:w="90" w:type="dxa"/>
              <w:start w:w="90" w:type="dxa"/>
              <w:bottom w:w="90" w:type="dxa"/>
              <w:end w:w="90" w:type="dxa"/>
            </w:tcMar>
            <w:shd w:fill="F5F8FB"/>
          </w:tcPr>
          <w:p>
            <w:pPr>
              <w:spacing w:after="0"/>
            </w:pPr>
            <w:r>
              <w:rPr>
                <w:rFonts w:ascii="Arial" w:hAnsi="Arial"/>
                <w:sz w:val="14"/>
              </w:rPr>
              <w:t>Core KPIs</w:t>
            </w:r>
          </w:p>
        </w:tc>
        <w:tc>
          <w:tcPr>
            <w:tcW w:type="dxa" w:w="3744"/>
            <w:vAlign w:val="top"/>
            <w:tcMar>
              <w:top w:w="90" w:type="dxa"/>
              <w:start w:w="90" w:type="dxa"/>
              <w:bottom w:w="90" w:type="dxa"/>
              <w:end w:w="90" w:type="dxa"/>
            </w:tcMar>
            <w:shd w:fill="F5F8FB"/>
          </w:tcPr>
          <w:p>
            <w:pPr>
              <w:spacing w:after="0"/>
            </w:pPr>
            <w:r>
              <w:rPr>
                <w:rFonts w:ascii="Arial" w:hAnsi="Arial"/>
                <w:sz w:val="14"/>
              </w:rPr>
              <w:t>Python recalculation matched the dashboard values.</w:t>
            </w:r>
          </w:p>
        </w:tc>
        <w:tc>
          <w:tcPr>
            <w:tcW w:type="dxa" w:w="3312"/>
            <w:vAlign w:val="top"/>
            <w:tcMar>
              <w:top w:w="90" w:type="dxa"/>
              <w:start w:w="90" w:type="dxa"/>
              <w:bottom w:w="90" w:type="dxa"/>
              <w:end w:w="90" w:type="dxa"/>
            </w:tcMar>
            <w:shd w:fill="F5F8FB"/>
          </w:tcPr>
          <w:p>
            <w:pPr>
              <w:spacing w:after="0"/>
            </w:pPr>
            <w:r>
              <w:rPr>
                <w:rFonts w:ascii="Arial" w:hAnsi="Arial"/>
                <w:sz w:val="14"/>
              </w:rPr>
              <w:t>Formatting reviewed for consistency.</w:t>
            </w:r>
          </w:p>
        </w:tc>
        <w:tc>
          <w:tcPr>
            <w:tcW w:type="dxa" w:w="1152"/>
            <w:vAlign w:val="top"/>
            <w:tcMar>
              <w:top w:w="90" w:type="dxa"/>
              <w:start w:w="90" w:type="dxa"/>
              <w:bottom w:w="90" w:type="dxa"/>
              <w:end w:w="90" w:type="dxa"/>
            </w:tcMar>
            <w:shd w:fill="F5F8FB"/>
          </w:tcPr>
          <w:p>
            <w:pPr>
              <w:spacing w:after="0"/>
            </w:pPr>
            <w:r>
              <w:rPr>
                <w:rFonts w:ascii="Arial" w:hAnsi="Arial"/>
                <w:sz w:val="14"/>
              </w:rPr>
              <w:t>Passed</w:t>
            </w:r>
          </w:p>
        </w:tc>
      </w:tr>
      <w:tr>
        <w:trPr>
          <w:cantSplit/>
        </w:trPr>
        <w:tc>
          <w:tcPr>
            <w:tcW w:type="dxa" w:w="2160"/>
            <w:vAlign w:val="top"/>
            <w:tcMar>
              <w:top w:w="90" w:type="dxa"/>
              <w:start w:w="90" w:type="dxa"/>
              <w:bottom w:w="90" w:type="dxa"/>
              <w:end w:w="90" w:type="dxa"/>
            </w:tcMar>
          </w:tcPr>
          <w:p>
            <w:pPr>
              <w:spacing w:after="0"/>
            </w:pPr>
            <w:r>
              <w:rPr>
                <w:rFonts w:ascii="Arial" w:hAnsi="Arial"/>
                <w:sz w:val="14"/>
              </w:rPr>
              <w:t>Monthly SQL result</w:t>
            </w:r>
          </w:p>
        </w:tc>
        <w:tc>
          <w:tcPr>
            <w:tcW w:type="dxa" w:w="3744"/>
            <w:vAlign w:val="top"/>
            <w:tcMar>
              <w:top w:w="90" w:type="dxa"/>
              <w:start w:w="90" w:type="dxa"/>
              <w:bottom w:w="90" w:type="dxa"/>
              <w:end w:w="90" w:type="dxa"/>
            </w:tcMar>
          </w:tcPr>
          <w:p>
            <w:pPr>
              <w:spacing w:after="0"/>
            </w:pPr>
            <w:r>
              <w:rPr>
                <w:rFonts w:ascii="Arial" w:hAnsi="Arial"/>
                <w:sz w:val="14"/>
              </w:rPr>
              <w:t>Python reproduced the same January–March totals.</w:t>
            </w:r>
          </w:p>
        </w:tc>
        <w:tc>
          <w:tcPr>
            <w:tcW w:type="dxa" w:w="3312"/>
            <w:vAlign w:val="top"/>
            <w:tcMar>
              <w:top w:w="90" w:type="dxa"/>
              <w:start w:w="90" w:type="dxa"/>
              <w:bottom w:w="90" w:type="dxa"/>
              <w:end w:w="90" w:type="dxa"/>
            </w:tcMar>
          </w:tcPr>
          <w:p>
            <w:pPr>
              <w:spacing w:after="0"/>
            </w:pPr>
            <w:r>
              <w:rPr>
                <w:rFonts w:ascii="Arial" w:hAnsi="Arial"/>
                <w:sz w:val="14"/>
              </w:rPr>
              <w:t>No analytical correction required.</w:t>
            </w:r>
          </w:p>
        </w:tc>
        <w:tc>
          <w:tcPr>
            <w:tcW w:type="dxa" w:w="1152"/>
            <w:vAlign w:val="top"/>
            <w:tcMar>
              <w:top w:w="90" w:type="dxa"/>
              <w:start w:w="90" w:type="dxa"/>
              <w:bottom w:w="90" w:type="dxa"/>
              <w:end w:w="90" w:type="dxa"/>
            </w:tcMar>
          </w:tcPr>
          <w:p>
            <w:pPr>
              <w:spacing w:after="0"/>
            </w:pPr>
            <w:r>
              <w:rPr>
                <w:rFonts w:ascii="Arial" w:hAnsi="Arial"/>
                <w:sz w:val="14"/>
              </w:rPr>
              <w:t>Passed</w:t>
            </w:r>
          </w:p>
        </w:tc>
      </w:tr>
      <w:tr>
        <w:trPr>
          <w:cantSplit/>
        </w:trPr>
        <w:tc>
          <w:tcPr>
            <w:tcW w:type="dxa" w:w="2160"/>
            <w:vAlign w:val="top"/>
            <w:tcMar>
              <w:top w:w="90" w:type="dxa"/>
              <w:start w:w="90" w:type="dxa"/>
              <w:bottom w:w="90" w:type="dxa"/>
              <w:end w:w="90" w:type="dxa"/>
            </w:tcMar>
            <w:shd w:fill="F5F8FB"/>
          </w:tcPr>
          <w:p>
            <w:pPr>
              <w:spacing w:after="0"/>
            </w:pPr>
            <w:r>
              <w:rPr>
                <w:rFonts w:ascii="Arial" w:hAnsi="Arial"/>
                <w:sz w:val="14"/>
              </w:rPr>
              <w:t>Risk-review amount bands</w:t>
            </w:r>
          </w:p>
        </w:tc>
        <w:tc>
          <w:tcPr>
            <w:tcW w:type="dxa" w:w="3744"/>
            <w:vAlign w:val="top"/>
            <w:tcMar>
              <w:top w:w="90" w:type="dxa"/>
              <w:start w:w="90" w:type="dxa"/>
              <w:bottom w:w="90" w:type="dxa"/>
              <w:end w:w="90" w:type="dxa"/>
            </w:tcMar>
            <w:shd w:fill="F5F8FB"/>
          </w:tcPr>
          <w:p>
            <w:pPr>
              <w:spacing w:after="0"/>
            </w:pPr>
            <w:r>
              <w:rPr>
                <w:rFonts w:ascii="Arial" w:hAnsi="Arial"/>
                <w:sz w:val="14"/>
              </w:rPr>
              <w:t>SQL, Python and Power BI produced matching rates, including 40.54% for NGN 200K+.</w:t>
            </w:r>
          </w:p>
        </w:tc>
        <w:tc>
          <w:tcPr>
            <w:tcW w:type="dxa" w:w="3312"/>
            <w:vAlign w:val="top"/>
            <w:tcMar>
              <w:top w:w="90" w:type="dxa"/>
              <w:start w:w="90" w:type="dxa"/>
              <w:bottom w:w="90" w:type="dxa"/>
              <w:end w:w="90" w:type="dxa"/>
            </w:tcMar>
            <w:shd w:fill="F5F8FB"/>
          </w:tcPr>
          <w:p>
            <w:pPr>
              <w:spacing w:after="0"/>
            </w:pPr>
            <w:r>
              <w:rPr>
                <w:rFonts w:ascii="Arial" w:hAnsi="Arial"/>
                <w:sz w:val="14"/>
              </w:rPr>
              <w:t>Amount-band ordering and presentation were reviewed.</w:t>
            </w:r>
          </w:p>
        </w:tc>
        <w:tc>
          <w:tcPr>
            <w:tcW w:type="dxa" w:w="1152"/>
            <w:vAlign w:val="top"/>
            <w:tcMar>
              <w:top w:w="90" w:type="dxa"/>
              <w:start w:w="90" w:type="dxa"/>
              <w:bottom w:w="90" w:type="dxa"/>
              <w:end w:w="90" w:type="dxa"/>
            </w:tcMar>
            <w:shd w:fill="F5F8FB"/>
          </w:tcPr>
          <w:p>
            <w:pPr>
              <w:spacing w:after="0"/>
            </w:pPr>
            <w:r>
              <w:rPr>
                <w:rFonts w:ascii="Arial" w:hAnsi="Arial"/>
                <w:sz w:val="14"/>
              </w:rPr>
              <w:t>Passed</w:t>
            </w:r>
          </w:p>
        </w:tc>
      </w:tr>
      <w:tr>
        <w:trPr>
          <w:cantSplit/>
        </w:trPr>
        <w:tc>
          <w:tcPr>
            <w:tcW w:type="dxa" w:w="2160"/>
            <w:vAlign w:val="top"/>
            <w:tcMar>
              <w:top w:w="90" w:type="dxa"/>
              <w:start w:w="90" w:type="dxa"/>
              <w:bottom w:w="90" w:type="dxa"/>
              <w:end w:w="90" w:type="dxa"/>
            </w:tcMar>
          </w:tcPr>
          <w:p>
            <w:pPr>
              <w:spacing w:after="0"/>
            </w:pPr>
            <w:r>
              <w:rPr>
                <w:rFonts w:ascii="Arial" w:hAnsi="Arial"/>
                <w:sz w:val="14"/>
              </w:rPr>
              <w:t>Failure-rate analysis</w:t>
            </w:r>
          </w:p>
        </w:tc>
        <w:tc>
          <w:tcPr>
            <w:tcW w:type="dxa" w:w="3744"/>
            <w:vAlign w:val="top"/>
            <w:tcMar>
              <w:top w:w="90" w:type="dxa"/>
              <w:start w:w="90" w:type="dxa"/>
              <w:bottom w:w="90" w:type="dxa"/>
              <w:end w:w="90" w:type="dxa"/>
            </w:tcMar>
          </w:tcPr>
          <w:p>
            <w:pPr>
              <w:spacing w:after="0"/>
            </w:pPr>
            <w:r>
              <w:rPr>
                <w:rFonts w:ascii="Arial" w:hAnsi="Arial"/>
                <w:sz w:val="14"/>
              </w:rPr>
              <w:t>SQL, Python and Power BI showed the same main channel × transaction-type hotspots.</w:t>
            </w:r>
          </w:p>
        </w:tc>
        <w:tc>
          <w:tcPr>
            <w:tcW w:type="dxa" w:w="3312"/>
            <w:vAlign w:val="top"/>
            <w:tcMar>
              <w:top w:w="90" w:type="dxa"/>
              <w:start w:w="90" w:type="dxa"/>
              <w:bottom w:w="90" w:type="dxa"/>
              <w:end w:w="90" w:type="dxa"/>
            </w:tcMar>
          </w:tcPr>
          <w:p>
            <w:pPr>
              <w:spacing w:after="0"/>
            </w:pPr>
            <w:r>
              <w:rPr>
                <w:rFonts w:ascii="Arial" w:hAnsi="Arial"/>
                <w:sz w:val="14"/>
              </w:rPr>
              <w:t>Matrix presentation improved for comparison.</w:t>
            </w:r>
          </w:p>
        </w:tc>
        <w:tc>
          <w:tcPr>
            <w:tcW w:type="dxa" w:w="1152"/>
            <w:vAlign w:val="top"/>
            <w:tcMar>
              <w:top w:w="90" w:type="dxa"/>
              <w:start w:w="90" w:type="dxa"/>
              <w:bottom w:w="90" w:type="dxa"/>
              <w:end w:w="90" w:type="dxa"/>
            </w:tcMar>
          </w:tcPr>
          <w:p>
            <w:pPr>
              <w:spacing w:after="0"/>
            </w:pPr>
            <w:r>
              <w:rPr>
                <w:rFonts w:ascii="Arial" w:hAnsi="Arial"/>
                <w:sz w:val="14"/>
              </w:rPr>
              <w:t>Passed</w:t>
            </w:r>
          </w:p>
        </w:tc>
      </w:tr>
      <w:tr>
        <w:trPr>
          <w:cantSplit/>
        </w:trPr>
        <w:tc>
          <w:tcPr>
            <w:tcW w:type="dxa" w:w="2160"/>
            <w:vAlign w:val="top"/>
            <w:tcMar>
              <w:top w:w="90" w:type="dxa"/>
              <w:start w:w="90" w:type="dxa"/>
              <w:bottom w:w="90" w:type="dxa"/>
              <w:end w:w="90" w:type="dxa"/>
            </w:tcMar>
            <w:shd w:fill="F5F8FB"/>
          </w:tcPr>
          <w:p>
            <w:pPr>
              <w:spacing w:after="0"/>
            </w:pPr>
            <w:r>
              <w:rPr>
                <w:rFonts w:ascii="Arial" w:hAnsi="Arial"/>
                <w:sz w:val="14"/>
              </w:rPr>
              <w:t>Python reproducibility</w:t>
            </w:r>
          </w:p>
        </w:tc>
        <w:tc>
          <w:tcPr>
            <w:tcW w:type="dxa" w:w="3744"/>
            <w:vAlign w:val="top"/>
            <w:tcMar>
              <w:top w:w="90" w:type="dxa"/>
              <w:start w:w="90" w:type="dxa"/>
              <w:bottom w:w="90" w:type="dxa"/>
              <w:end w:w="90" w:type="dxa"/>
            </w:tcMar>
            <w:shd w:fill="F5F8FB"/>
          </w:tcPr>
          <w:p>
            <w:pPr>
              <w:spacing w:after="0"/>
            </w:pPr>
            <w:r>
              <w:rPr>
                <w:rFonts w:ascii="Arial" w:hAnsi="Arial"/>
                <w:sz w:val="14"/>
              </w:rPr>
              <w:t>Notebook reran from cleaned datasets without analytical errors.</w:t>
            </w:r>
          </w:p>
        </w:tc>
        <w:tc>
          <w:tcPr>
            <w:tcW w:type="dxa" w:w="3312"/>
            <w:vAlign w:val="top"/>
            <w:tcMar>
              <w:top w:w="90" w:type="dxa"/>
              <w:start w:w="90" w:type="dxa"/>
              <w:bottom w:w="90" w:type="dxa"/>
              <w:end w:w="90" w:type="dxa"/>
            </w:tcMar>
            <w:shd w:fill="F5F8FB"/>
          </w:tcPr>
          <w:p>
            <w:pPr>
              <w:spacing w:after="0"/>
            </w:pPr>
            <w:r>
              <w:rPr>
                <w:rFonts w:ascii="Arial" w:hAnsi="Arial"/>
                <w:sz w:val="14"/>
              </w:rPr>
              <w:t>Execution order reviewed.</w:t>
            </w:r>
          </w:p>
        </w:tc>
        <w:tc>
          <w:tcPr>
            <w:tcW w:type="dxa" w:w="1152"/>
            <w:vAlign w:val="top"/>
            <w:tcMar>
              <w:top w:w="90" w:type="dxa"/>
              <w:start w:w="90" w:type="dxa"/>
              <w:bottom w:w="90" w:type="dxa"/>
              <w:end w:w="90" w:type="dxa"/>
            </w:tcMar>
            <w:shd w:fill="F5F8FB"/>
          </w:tcPr>
          <w:p>
            <w:pPr>
              <w:spacing w:after="0"/>
            </w:pPr>
            <w:r>
              <w:rPr>
                <w:rFonts w:ascii="Arial" w:hAnsi="Arial"/>
                <w:sz w:val="14"/>
              </w:rPr>
              <w:t>Passed</w:t>
            </w:r>
          </w:p>
        </w:tc>
      </w:tr>
      <w:tr>
        <w:trPr>
          <w:cantSplit/>
        </w:trPr>
        <w:tc>
          <w:tcPr>
            <w:tcW w:type="dxa" w:w="2160"/>
            <w:vAlign w:val="top"/>
            <w:tcMar>
              <w:top w:w="90" w:type="dxa"/>
              <w:start w:w="90" w:type="dxa"/>
              <w:bottom w:w="90" w:type="dxa"/>
              <w:end w:w="90" w:type="dxa"/>
            </w:tcMar>
          </w:tcPr>
          <w:p>
            <w:pPr>
              <w:spacing w:after="0"/>
            </w:pPr>
            <w:r>
              <w:rPr>
                <w:rFonts w:ascii="Arial" w:hAnsi="Arial"/>
                <w:sz w:val="14"/>
              </w:rPr>
              <w:t>Power BI slicers and interactions</w:t>
            </w:r>
          </w:p>
        </w:tc>
        <w:tc>
          <w:tcPr>
            <w:tcW w:type="dxa" w:w="3744"/>
            <w:vAlign w:val="top"/>
            <w:tcMar>
              <w:top w:w="90" w:type="dxa"/>
              <w:start w:w="90" w:type="dxa"/>
              <w:bottom w:w="90" w:type="dxa"/>
              <w:end w:w="90" w:type="dxa"/>
            </w:tcMar>
          </w:tcPr>
          <w:p>
            <w:pPr>
              <w:spacing w:after="0"/>
            </w:pPr>
            <w:r>
              <w:rPr>
                <w:rFonts w:ascii="Arial" w:hAnsi="Arial"/>
                <w:sz w:val="14"/>
              </w:rPr>
              <w:t>Relevant visuals responded correctly and overall values restored after clearing filters.</w:t>
            </w:r>
          </w:p>
        </w:tc>
        <w:tc>
          <w:tcPr>
            <w:tcW w:type="dxa" w:w="3312"/>
            <w:vAlign w:val="top"/>
            <w:tcMar>
              <w:top w:w="90" w:type="dxa"/>
              <w:start w:w="90" w:type="dxa"/>
              <w:bottom w:w="90" w:type="dxa"/>
              <w:end w:w="90" w:type="dxa"/>
            </w:tcMar>
          </w:tcPr>
          <w:p>
            <w:pPr>
              <w:spacing w:after="0"/>
            </w:pPr>
            <w:r>
              <w:rPr>
                <w:rFonts w:ascii="Arial" w:hAnsi="Arial"/>
                <w:sz w:val="14"/>
              </w:rPr>
              <w:t>Interaction behaviour reviewed.</w:t>
            </w:r>
          </w:p>
        </w:tc>
        <w:tc>
          <w:tcPr>
            <w:tcW w:type="dxa" w:w="1152"/>
            <w:vAlign w:val="top"/>
            <w:tcMar>
              <w:top w:w="90" w:type="dxa"/>
              <w:start w:w="90" w:type="dxa"/>
              <w:bottom w:w="90" w:type="dxa"/>
              <w:end w:w="90" w:type="dxa"/>
            </w:tcMar>
          </w:tcPr>
          <w:p>
            <w:pPr>
              <w:spacing w:after="0"/>
            </w:pPr>
            <w:r>
              <w:rPr>
                <w:rFonts w:ascii="Arial" w:hAnsi="Arial"/>
                <w:sz w:val="14"/>
              </w:rPr>
              <w:t>Passed</w:t>
            </w:r>
          </w:p>
        </w:tc>
      </w:tr>
      <w:tr>
        <w:trPr>
          <w:cantSplit/>
        </w:trPr>
        <w:tc>
          <w:tcPr>
            <w:tcW w:type="dxa" w:w="2160"/>
            <w:vAlign w:val="top"/>
            <w:tcMar>
              <w:top w:w="90" w:type="dxa"/>
              <w:start w:w="90" w:type="dxa"/>
              <w:bottom w:w="90" w:type="dxa"/>
              <w:end w:w="90" w:type="dxa"/>
            </w:tcMar>
            <w:shd w:fill="F5F8FB"/>
          </w:tcPr>
          <w:p>
            <w:pPr>
              <w:spacing w:after="0"/>
            </w:pPr>
            <w:r>
              <w:rPr>
                <w:rFonts w:ascii="Arial" w:hAnsi="Arial"/>
                <w:sz w:val="14"/>
              </w:rPr>
              <w:t>Power BI drill-through</w:t>
            </w:r>
          </w:p>
        </w:tc>
        <w:tc>
          <w:tcPr>
            <w:tcW w:type="dxa" w:w="3744"/>
            <w:vAlign w:val="top"/>
            <w:tcMar>
              <w:top w:w="90" w:type="dxa"/>
              <w:start w:w="90" w:type="dxa"/>
              <w:bottom w:w="90" w:type="dxa"/>
              <w:end w:w="90" w:type="dxa"/>
            </w:tcMar>
            <w:shd w:fill="F5F8FB"/>
          </w:tcPr>
          <w:p>
            <w:pPr>
              <w:spacing w:after="0"/>
            </w:pPr>
            <w:r>
              <w:rPr>
                <w:rFonts w:ascii="Arial" w:hAnsi="Arial"/>
                <w:sz w:val="14"/>
              </w:rPr>
              <w:t>Selected segments correctly filtered the detail page and KPIs/charts.</w:t>
            </w:r>
          </w:p>
        </w:tc>
        <w:tc>
          <w:tcPr>
            <w:tcW w:type="dxa" w:w="3312"/>
            <w:vAlign w:val="top"/>
            <w:tcMar>
              <w:top w:w="90" w:type="dxa"/>
              <w:start w:w="90" w:type="dxa"/>
              <w:bottom w:w="90" w:type="dxa"/>
              <w:end w:w="90" w:type="dxa"/>
            </w:tcMar>
            <w:shd w:fill="F5F8FB"/>
          </w:tcPr>
          <w:p>
            <w:pPr>
              <w:spacing w:after="0"/>
            </w:pPr>
            <w:r>
              <w:rPr>
                <w:rFonts w:ascii="Arial" w:hAnsi="Arial"/>
                <w:sz w:val="14"/>
              </w:rPr>
              <w:t>Segment Detail page and navigation were refined.</w:t>
            </w:r>
          </w:p>
        </w:tc>
        <w:tc>
          <w:tcPr>
            <w:tcW w:type="dxa" w:w="1152"/>
            <w:vAlign w:val="top"/>
            <w:tcMar>
              <w:top w:w="90" w:type="dxa"/>
              <w:start w:w="90" w:type="dxa"/>
              <w:bottom w:w="90" w:type="dxa"/>
              <w:end w:w="90" w:type="dxa"/>
            </w:tcMar>
            <w:shd w:fill="F5F8FB"/>
          </w:tcPr>
          <w:p>
            <w:pPr>
              <w:spacing w:after="0"/>
            </w:pPr>
            <w:r>
              <w:rPr>
                <w:rFonts w:ascii="Arial" w:hAnsi="Arial"/>
                <w:sz w:val="14"/>
              </w:rPr>
              <w:t>Passed</w:t>
            </w:r>
          </w:p>
        </w:tc>
      </w:tr>
    </w:tbl>
    <w:p>
      <w:pPr>
        <w:spacing w:after="20"/>
      </w:pPr>
    </w:p>
    <w:p>
      <w:pPr>
        <w:spacing w:after="80"/>
      </w:pPr>
      <w:r>
        <w:rPr>
          <w:rFonts w:ascii="Arial" w:hAnsi="Arial"/>
          <w:b/>
          <w:sz w:val="20"/>
        </w:rPr>
        <w:t xml:space="preserve">Overall validation conclusion: </w:t>
      </w:r>
      <w:r>
        <w:rPr>
          <w:rFonts w:ascii="Arial" w:hAnsi="Arial"/>
          <w:sz w:val="20"/>
        </w:rPr>
        <w:t>Four of the five major business findings were supported without material revision. The digital-engagement finding was refined: higher engagement is associated most clearly with transaction value, while transaction frequency differences are modest and not strictly increasing across all engagement levels.</w:t>
      </w:r>
    </w:p>
    <w:p>
      <w:pPr>
        <w:pStyle w:val="Heading1"/>
        <w:keepNext/>
      </w:pPr>
      <w:r>
        <w:t>12. Integration with the Wider FinTrust Solution</w:t>
      </w:r>
    </w:p>
    <w:p>
      <w:r>
        <w:t>The Data Analytics output contributes to the wider FinTrust solution by converting customer and transaction data into validated KPIs, business findings and operational patterns. These outputs are positioned upstream of predictive risk intelligence and other technical components in the overall solution flow.</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888"/>
            <w:shd w:fill="1F4E79"/>
            <w:vAlign w:val="center"/>
            <w:tcMar>
              <w:top w:w="90" w:type="dxa"/>
              <w:start w:w="90" w:type="dxa"/>
              <w:bottom w:w="90" w:type="dxa"/>
              <w:end w:w="90" w:type="dxa"/>
            </w:tcMar>
          </w:tcPr>
          <w:p>
            <w:r>
              <w:rPr>
                <w:rFonts w:ascii="Arial" w:hAnsi="Arial"/>
                <w:b/>
                <w:color w:val="FFFFFF"/>
                <w:sz w:val="16"/>
              </w:rPr>
              <w:t>Analytics contribution</w:t>
            </w:r>
          </w:p>
        </w:tc>
        <w:tc>
          <w:tcPr>
            <w:tcW w:type="dxa" w:w="6336"/>
            <w:shd w:fill="1F4E79"/>
            <w:vAlign w:val="center"/>
            <w:tcMar>
              <w:top w:w="90" w:type="dxa"/>
              <w:start w:w="90" w:type="dxa"/>
              <w:bottom w:w="90" w:type="dxa"/>
              <w:end w:w="90" w:type="dxa"/>
            </w:tcMar>
          </w:tcPr>
          <w:p>
            <w:r>
              <w:rPr>
                <w:rFonts w:ascii="Arial" w:hAnsi="Arial"/>
                <w:b/>
                <w:color w:val="FFFFFF"/>
                <w:sz w:val="16"/>
              </w:rPr>
              <w:t>Potential wider use</w:t>
            </w:r>
          </w:p>
        </w:tc>
      </w:tr>
      <w:tr>
        <w:trPr>
          <w:cantSplit/>
        </w:trPr>
        <w:tc>
          <w:tcPr>
            <w:tcW w:type="dxa" w:w="3888"/>
            <w:vAlign w:val="top"/>
            <w:tcMar>
              <w:top w:w="90" w:type="dxa"/>
              <w:start w:w="90" w:type="dxa"/>
              <w:bottom w:w="90" w:type="dxa"/>
              <w:end w:w="90" w:type="dxa"/>
            </w:tcMar>
          </w:tcPr>
          <w:p>
            <w:pPr>
              <w:spacing w:after="0"/>
            </w:pPr>
            <w:r>
              <w:rPr>
                <w:rFonts w:ascii="Arial" w:hAnsi="Arial"/>
                <w:sz w:val="16"/>
              </w:rPr>
              <w:t>Cleaned customer and transaction data</w:t>
            </w:r>
          </w:p>
        </w:tc>
        <w:tc>
          <w:tcPr>
            <w:tcW w:type="dxa" w:w="6336"/>
            <w:vAlign w:val="top"/>
            <w:tcMar>
              <w:top w:w="90" w:type="dxa"/>
              <w:start w:w="90" w:type="dxa"/>
              <w:bottom w:w="90" w:type="dxa"/>
              <w:end w:w="90" w:type="dxa"/>
            </w:tcMar>
          </w:tcPr>
          <w:p>
            <w:pPr>
              <w:spacing w:after="0"/>
            </w:pPr>
            <w:r>
              <w:rPr>
                <w:rFonts w:ascii="Arial" w:hAnsi="Arial"/>
                <w:sz w:val="16"/>
              </w:rPr>
              <w:t>Reliable foundation for downstream analysis or modelling.</w:t>
            </w:r>
          </w:p>
        </w:tc>
      </w:tr>
      <w:tr>
        <w:trPr>
          <w:cantSplit/>
        </w:trPr>
        <w:tc>
          <w:tcPr>
            <w:tcW w:type="dxa" w:w="3888"/>
            <w:vAlign w:val="top"/>
            <w:tcMar>
              <w:top w:w="90" w:type="dxa"/>
              <w:start w:w="90" w:type="dxa"/>
              <w:bottom w:w="90" w:type="dxa"/>
              <w:end w:w="90" w:type="dxa"/>
            </w:tcMar>
            <w:shd w:fill="F5F8FB"/>
          </w:tcPr>
          <w:p>
            <w:pPr>
              <w:spacing w:after="0"/>
            </w:pPr>
            <w:r>
              <w:rPr>
                <w:rFonts w:ascii="Arial" w:hAnsi="Arial"/>
                <w:sz w:val="16"/>
              </w:rPr>
              <w:t>Validated KPIs and customer/transaction patterns</w:t>
            </w:r>
          </w:p>
        </w:tc>
        <w:tc>
          <w:tcPr>
            <w:tcW w:type="dxa" w:w="6336"/>
            <w:vAlign w:val="top"/>
            <w:tcMar>
              <w:top w:w="90" w:type="dxa"/>
              <w:start w:w="90" w:type="dxa"/>
              <w:bottom w:w="90" w:type="dxa"/>
              <w:end w:w="90" w:type="dxa"/>
            </w:tcMar>
            <w:shd w:fill="F5F8FB"/>
          </w:tcPr>
          <w:p>
            <w:pPr>
              <w:spacing w:after="0"/>
            </w:pPr>
            <w:r>
              <w:rPr>
                <w:rFonts w:ascii="Arial" w:hAnsi="Arial"/>
                <w:sz w:val="16"/>
              </w:rPr>
              <w:t>Shared business context for predictive or service-oriented components.</w:t>
            </w:r>
          </w:p>
        </w:tc>
      </w:tr>
      <w:tr>
        <w:trPr>
          <w:cantSplit/>
        </w:trPr>
        <w:tc>
          <w:tcPr>
            <w:tcW w:type="dxa" w:w="3888"/>
            <w:vAlign w:val="top"/>
            <w:tcMar>
              <w:top w:w="90" w:type="dxa"/>
              <w:start w:w="90" w:type="dxa"/>
              <w:bottom w:w="90" w:type="dxa"/>
              <w:end w:w="90" w:type="dxa"/>
            </w:tcMar>
          </w:tcPr>
          <w:p>
            <w:pPr>
              <w:spacing w:after="0"/>
            </w:pPr>
            <w:r>
              <w:rPr>
                <w:rFonts w:ascii="Arial" w:hAnsi="Arial"/>
                <w:sz w:val="16"/>
              </w:rPr>
              <w:t>Risk-review and high-value transaction patterns</w:t>
            </w:r>
          </w:p>
        </w:tc>
        <w:tc>
          <w:tcPr>
            <w:tcW w:type="dxa" w:w="6336"/>
            <w:vAlign w:val="top"/>
            <w:tcMar>
              <w:top w:w="90" w:type="dxa"/>
              <w:start w:w="90" w:type="dxa"/>
              <w:bottom w:w="90" w:type="dxa"/>
              <w:end w:w="90" w:type="dxa"/>
            </w:tcMar>
          </w:tcPr>
          <w:p>
            <w:pPr>
              <w:spacing w:after="0"/>
            </w:pPr>
            <w:r>
              <w:rPr>
                <w:rFonts w:ascii="Arial" w:hAnsi="Arial"/>
                <w:sz w:val="16"/>
              </w:rPr>
              <w:t>Context for risk-oriented analysis, subject to the synthetic-target limitation.</w:t>
            </w:r>
          </w:p>
        </w:tc>
      </w:tr>
      <w:tr>
        <w:trPr>
          <w:cantSplit/>
        </w:trPr>
        <w:tc>
          <w:tcPr>
            <w:tcW w:type="dxa" w:w="3888"/>
            <w:vAlign w:val="top"/>
            <w:tcMar>
              <w:top w:w="90" w:type="dxa"/>
              <w:start w:w="90" w:type="dxa"/>
              <w:bottom w:w="90" w:type="dxa"/>
              <w:end w:w="90" w:type="dxa"/>
            </w:tcMar>
            <w:shd w:fill="F5F8FB"/>
          </w:tcPr>
          <w:p>
            <w:pPr>
              <w:spacing w:after="0"/>
            </w:pPr>
            <w:r>
              <w:rPr>
                <w:rFonts w:ascii="Arial" w:hAnsi="Arial"/>
                <w:sz w:val="16"/>
              </w:rPr>
              <w:t>Operational failure hotspots</w:t>
            </w:r>
          </w:p>
        </w:tc>
        <w:tc>
          <w:tcPr>
            <w:tcW w:type="dxa" w:w="6336"/>
            <w:vAlign w:val="top"/>
            <w:tcMar>
              <w:top w:w="90" w:type="dxa"/>
              <w:start w:w="90" w:type="dxa"/>
              <w:bottom w:w="90" w:type="dxa"/>
              <w:end w:w="90" w:type="dxa"/>
            </w:tcMar>
            <w:shd w:fill="F5F8FB"/>
          </w:tcPr>
          <w:p>
            <w:pPr>
              <w:spacing w:after="0"/>
            </w:pPr>
            <w:r>
              <w:rPr>
                <w:rFonts w:ascii="Arial" w:hAnsi="Arial"/>
                <w:sz w:val="16"/>
              </w:rPr>
              <w:t>Supports discussion of service reliability and potential operational follow-up.</w:t>
            </w:r>
          </w:p>
        </w:tc>
      </w:tr>
      <w:tr>
        <w:trPr>
          <w:cantSplit/>
        </w:trPr>
        <w:tc>
          <w:tcPr>
            <w:tcW w:type="dxa" w:w="3888"/>
            <w:vAlign w:val="top"/>
            <w:tcMar>
              <w:top w:w="90" w:type="dxa"/>
              <w:start w:w="90" w:type="dxa"/>
              <w:bottom w:w="90" w:type="dxa"/>
              <w:end w:w="90" w:type="dxa"/>
            </w:tcMar>
          </w:tcPr>
          <w:p>
            <w:pPr>
              <w:spacing w:after="0"/>
            </w:pPr>
            <w:r>
              <w:rPr>
                <w:rFonts w:ascii="Arial" w:hAnsi="Arial"/>
                <w:sz w:val="16"/>
              </w:rPr>
              <w:t>Interactive Power BI dashboard</w:t>
            </w:r>
          </w:p>
        </w:tc>
        <w:tc>
          <w:tcPr>
            <w:tcW w:type="dxa" w:w="6336"/>
            <w:vAlign w:val="top"/>
            <w:tcMar>
              <w:top w:w="90" w:type="dxa"/>
              <w:start w:w="90" w:type="dxa"/>
              <w:bottom w:w="90" w:type="dxa"/>
              <w:end w:w="90" w:type="dxa"/>
            </w:tcMar>
          </w:tcPr>
          <w:p>
            <w:pPr>
              <w:spacing w:after="0"/>
            </w:pPr>
            <w:r>
              <w:rPr>
                <w:rFonts w:ascii="Arial" w:hAnsi="Arial"/>
                <w:sz w:val="16"/>
              </w:rPr>
              <w:t>Management-facing presentation layer for the Data Analytics contribution.</w:t>
            </w:r>
          </w:p>
        </w:tc>
      </w:tr>
    </w:tbl>
    <w:p>
      <w:pPr>
        <w:spacing w:after="20"/>
      </w:pPr>
    </w:p>
    <w:p>
      <w:pPr>
        <w:pStyle w:val="ReportCaption"/>
      </w:pPr>
      <w:r>
        <w:rPr>
          <w:b/>
        </w:rPr>
        <w:t xml:space="preserve">Important: </w:t>
      </w:r>
      <w:r>
        <w:t>This report does not claim cross-track integration or collaboration that was not actually performed. It describes how the Data Analytics outputs fit conceptually within the wider FinTrust solution.</w:t>
      </w:r>
    </w:p>
    <w:p>
      <w:pPr>
        <w:pStyle w:val="Heading1"/>
        <w:keepNext/>
      </w:pPr>
      <w:r>
        <w:t>13. Assumptions, Limitations and Responsible Use</w:t>
      </w:r>
    </w:p>
    <w:p>
      <w:pPr>
        <w:pStyle w:val="ListBullet"/>
        <w:spacing w:after="60"/>
      </w:pPr>
      <w:r>
        <w:rPr>
          <w:rFonts w:ascii="Arial" w:hAnsi="Arial"/>
          <w:sz w:val="20"/>
        </w:rPr>
        <w:t>FinTrust is a fictional organisation and the supplied datasets are synthetic.</w:t>
      </w:r>
    </w:p>
    <w:p>
      <w:pPr>
        <w:pStyle w:val="ListBullet"/>
        <w:spacing w:after="60"/>
      </w:pPr>
      <w:r>
        <w:rPr>
          <w:rFonts w:ascii="Arial" w:hAnsi="Arial"/>
          <w:sz w:val="20"/>
        </w:rPr>
        <w:t>The analysis period is limited to January–March 2026; the observed trends should not be treated as long-term seasonality or forecasting evidence.</w:t>
      </w:r>
    </w:p>
    <w:p>
      <w:pPr>
        <w:pStyle w:val="ListBullet"/>
        <w:spacing w:after="60"/>
      </w:pPr>
      <w:r>
        <w:rPr>
          <w:rFonts w:ascii="Arial" w:hAnsi="Arial"/>
          <w:sz w:val="20"/>
        </w:rPr>
        <w:t>The analytical solution is descriptive and diagnostic; it does not establish causality.</w:t>
      </w:r>
    </w:p>
    <w:p>
      <w:pPr>
        <w:pStyle w:val="ListBullet"/>
        <w:spacing w:after="60"/>
      </w:pPr>
      <w:r>
        <w:rPr>
          <w:rFonts w:ascii="Arial" w:hAnsi="Arial"/>
          <w:sz w:val="20"/>
        </w:rPr>
        <w:t>Risk_Review_Flag is a synthetic educational indicator and is not evidence of actual fraud, financial crime or customer misconduct.</w:t>
      </w:r>
    </w:p>
    <w:p>
      <w:pPr>
        <w:pStyle w:val="ListBullet"/>
        <w:spacing w:after="60"/>
      </w:pPr>
      <w:r>
        <w:rPr>
          <w:rFonts w:ascii="Arial" w:hAnsi="Arial"/>
          <w:sz w:val="20"/>
        </w:rPr>
        <w:t>The dashboard and analysis are educational prototypes and are not a production banking system.</w:t>
      </w:r>
    </w:p>
    <w:p>
      <w:pPr>
        <w:pStyle w:val="ListBullet"/>
        <w:spacing w:after="60"/>
      </w:pPr>
      <w:r>
        <w:rPr>
          <w:rFonts w:ascii="Arial" w:hAnsi="Arial"/>
          <w:sz w:val="20"/>
        </w:rPr>
        <w:t>Recommendations are based on the available synthetic data and should be validated against real operational processes, policies and risk thresholds before any real-world use.</w:t>
      </w:r>
    </w:p>
    <w:p>
      <w:pPr>
        <w:pStyle w:val="ListBullet"/>
        <w:spacing w:after="60"/>
      </w:pPr>
      <w:r>
        <w:rPr>
          <w:rFonts w:ascii="Arial" w:hAnsi="Arial"/>
          <w:sz w:val="20"/>
        </w:rPr>
        <w:t>Digital engagement, segment and transaction patterns are associations within this dataset and should not be interpreted as proof that one factor causes another.</w:t>
      </w:r>
    </w:p>
    <w:p>
      <w:pPr>
        <w:pStyle w:val="Heading1"/>
        <w:keepNext/>
      </w:pPr>
      <w:r>
        <w:t>14. Lessons Learned and Final Reflection</w:t>
      </w:r>
    </w:p>
    <w:p>
      <w:pPr>
        <w:pStyle w:val="Heading2"/>
        <w:keepNext/>
      </w:pPr>
      <w:r>
        <w:t>14.1 What worked well</w:t>
      </w:r>
    </w:p>
    <w:p>
      <w:pPr>
        <w:pStyle w:val="ListBullet"/>
        <w:spacing w:after="60"/>
      </w:pPr>
      <w:r>
        <w:rPr>
          <w:rFonts w:ascii="Arial" w:hAnsi="Arial"/>
          <w:sz w:val="20"/>
        </w:rPr>
        <w:t>Using SQL, Python and Power BI together created a strong cross-validation workflow rather than relying on a single tool.</w:t>
      </w:r>
    </w:p>
    <w:p>
      <w:pPr>
        <w:pStyle w:val="ListBullet"/>
        <w:spacing w:after="60"/>
      </w:pPr>
      <w:r>
        <w:rPr>
          <w:rFonts w:ascii="Arial" w:hAnsi="Arial"/>
          <w:sz w:val="20"/>
        </w:rPr>
        <w:t>Normalized KPIs such as value per customer and transactions per customer revealed insights that overall totals alone could hide.</w:t>
      </w:r>
    </w:p>
    <w:p>
      <w:pPr>
        <w:pStyle w:val="ListBullet"/>
        <w:spacing w:after="60"/>
      </w:pPr>
      <w:r>
        <w:rPr>
          <w:rFonts w:ascii="Arial" w:hAnsi="Arial"/>
          <w:sz w:val="20"/>
        </w:rPr>
        <w:t>Building Week 3 and Week 4 on top of earlier work preserved continuity and demonstrated progressive improvement rather than restarting the project.</w:t>
      </w:r>
    </w:p>
    <w:p>
      <w:pPr>
        <w:pStyle w:val="Heading2"/>
        <w:keepNext/>
      </w:pPr>
      <w:r>
        <w:t>14.2 Challenges encountered</w:t>
      </w:r>
    </w:p>
    <w:p>
      <w:pPr>
        <w:pStyle w:val="ListBullet"/>
        <w:spacing w:after="60"/>
      </w:pPr>
      <w:r>
        <w:rPr>
          <w:rFonts w:ascii="Arial" w:hAnsi="Arial"/>
          <w:sz w:val="20"/>
        </w:rPr>
        <w:t>Maintaining consistent field names, file locations and notebook environments across multiple project weeks required careful organisation.</w:t>
      </w:r>
    </w:p>
    <w:p>
      <w:pPr>
        <w:pStyle w:val="ListBullet"/>
        <w:spacing w:after="60"/>
      </w:pPr>
      <w:r>
        <w:rPr>
          <w:rFonts w:ascii="Arial" w:hAnsi="Arial"/>
          <w:sz w:val="20"/>
        </w:rPr>
        <w:t>Balancing analytical depth with dashboard readability required removing or replacing less informative visuals instead of continually adding more charts.</w:t>
      </w:r>
    </w:p>
    <w:p>
      <w:pPr>
        <w:pStyle w:val="ListBullet"/>
        <w:spacing w:after="60"/>
      </w:pPr>
      <w:r>
        <w:rPr>
          <w:rFonts w:ascii="Arial" w:hAnsi="Arial"/>
          <w:sz w:val="20"/>
        </w:rPr>
        <w:t>Testing drill-through, filters and formatting in Power BI required iterative review before the final dashboard behaved as intended.</w:t>
      </w:r>
    </w:p>
    <w:p>
      <w:pPr>
        <w:pStyle w:val="Heading2"/>
        <w:keepNext/>
      </w:pPr>
      <w:r>
        <w:t>14.3 Key lessons learned</w:t>
      </w:r>
    </w:p>
    <w:p>
      <w:pPr>
        <w:pStyle w:val="ListBullet"/>
        <w:spacing w:after="60"/>
      </w:pPr>
      <w:r>
        <w:rPr>
          <w:rFonts w:ascii="Arial" w:hAnsi="Arial"/>
          <w:sz w:val="20"/>
        </w:rPr>
        <w:t>Validation is stronger when the same finding is reproduced independently across different tools.</w:t>
      </w:r>
    </w:p>
    <w:p>
      <w:pPr>
        <w:pStyle w:val="ListBullet"/>
        <w:spacing w:after="60"/>
      </w:pPr>
      <w:r>
        <w:rPr>
          <w:rFonts w:ascii="Arial" w:hAnsi="Arial"/>
          <w:sz w:val="20"/>
        </w:rPr>
        <w:t>Business intelligence should distinguish overall totals from normalized performance and operational impact.</w:t>
      </w:r>
    </w:p>
    <w:p>
      <w:pPr>
        <w:pStyle w:val="ListBullet"/>
        <w:spacing w:after="60"/>
      </w:pPr>
      <w:r>
        <w:rPr>
          <w:rFonts w:ascii="Arial" w:hAnsi="Arial"/>
          <w:sz w:val="20"/>
        </w:rPr>
        <w:t>A final analytical deliverable is not complete when the calculations work; it also needs reproducibility, clear documentation, limitations and a usable presentation layer.</w:t>
      </w:r>
    </w:p>
    <w:p>
      <w:pPr>
        <w:pStyle w:val="Heading1"/>
        <w:keepNext/>
      </w:pPr>
      <w:r>
        <w:t>15. Final Deliverables and Conclusion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600"/>
            <w:shd w:fill="1F4E79"/>
            <w:vAlign w:val="center"/>
            <w:tcMar>
              <w:top w:w="90" w:type="dxa"/>
              <w:start w:w="90" w:type="dxa"/>
              <w:bottom w:w="90" w:type="dxa"/>
              <w:end w:w="90" w:type="dxa"/>
            </w:tcMar>
          </w:tcPr>
          <w:p>
            <w:r>
              <w:rPr>
                <w:rFonts w:ascii="Arial" w:hAnsi="Arial"/>
                <w:b/>
                <w:color w:val="FFFFFF"/>
                <w:sz w:val="16"/>
              </w:rPr>
              <w:t>Required final Data Analytics deliverable</w:t>
            </w:r>
          </w:p>
        </w:tc>
        <w:tc>
          <w:tcPr>
            <w:tcW w:type="dxa" w:w="6624"/>
            <w:shd w:fill="1F4E79"/>
            <w:vAlign w:val="center"/>
            <w:tcMar>
              <w:top w:w="90" w:type="dxa"/>
              <w:start w:w="90" w:type="dxa"/>
              <w:bottom w:w="90" w:type="dxa"/>
              <w:end w:w="90" w:type="dxa"/>
            </w:tcMar>
          </w:tcPr>
          <w:p>
            <w:r>
              <w:rPr>
                <w:rFonts w:ascii="Arial" w:hAnsi="Arial"/>
                <w:b/>
                <w:color w:val="FFFFFF"/>
                <w:sz w:val="16"/>
              </w:rPr>
              <w:t>Final project output</w:t>
            </w:r>
          </w:p>
        </w:tc>
      </w:tr>
      <w:tr>
        <w:trPr>
          <w:cantSplit/>
        </w:trPr>
        <w:tc>
          <w:tcPr>
            <w:tcW w:type="dxa" w:w="3600"/>
            <w:vAlign w:val="top"/>
            <w:tcMar>
              <w:top w:w="90" w:type="dxa"/>
              <w:start w:w="90" w:type="dxa"/>
              <w:bottom w:w="90" w:type="dxa"/>
              <w:end w:w="90" w:type="dxa"/>
            </w:tcMar>
          </w:tcPr>
          <w:p>
            <w:pPr>
              <w:spacing w:after="0"/>
            </w:pPr>
            <w:r>
              <w:rPr>
                <w:rFonts w:ascii="Arial" w:hAnsi="Arial"/>
                <w:sz w:val="16"/>
              </w:rPr>
              <w:t>Final Power BI dashboard</w:t>
            </w:r>
          </w:p>
        </w:tc>
        <w:tc>
          <w:tcPr>
            <w:tcW w:type="dxa" w:w="6624"/>
            <w:vAlign w:val="top"/>
            <w:tcMar>
              <w:top w:w="90" w:type="dxa"/>
              <w:start w:w="90" w:type="dxa"/>
              <w:bottom w:w="90" w:type="dxa"/>
              <w:end w:w="90" w:type="dxa"/>
            </w:tcMar>
          </w:tcPr>
          <w:p>
            <w:pPr>
              <w:spacing w:after="0"/>
            </w:pPr>
            <w:r>
              <w:rPr>
                <w:rFonts w:ascii="Arial" w:hAnsi="Arial"/>
                <w:sz w:val="16"/>
              </w:rPr>
              <w:t>Final refined Power BI dashboard with KPI, transaction, customer, risk and drill-through analysis.</w:t>
            </w:r>
          </w:p>
        </w:tc>
      </w:tr>
      <w:tr>
        <w:trPr>
          <w:cantSplit/>
        </w:trPr>
        <w:tc>
          <w:tcPr>
            <w:tcW w:type="dxa" w:w="3600"/>
            <w:vAlign w:val="top"/>
            <w:tcMar>
              <w:top w:w="90" w:type="dxa"/>
              <w:start w:w="90" w:type="dxa"/>
              <w:bottom w:w="90" w:type="dxa"/>
              <w:end w:w="90" w:type="dxa"/>
            </w:tcMar>
            <w:shd w:fill="F5F8FB"/>
          </w:tcPr>
          <w:p>
            <w:pPr>
              <w:spacing w:after="0"/>
            </w:pPr>
            <w:r>
              <w:rPr>
                <w:rFonts w:ascii="Arial" w:hAnsi="Arial"/>
                <w:sz w:val="16"/>
              </w:rPr>
              <w:t>Final SQL scripts</w:t>
            </w:r>
          </w:p>
        </w:tc>
        <w:tc>
          <w:tcPr>
            <w:tcW w:type="dxa" w:w="6624"/>
            <w:vAlign w:val="top"/>
            <w:tcMar>
              <w:top w:w="90" w:type="dxa"/>
              <w:start w:w="90" w:type="dxa"/>
              <w:bottom w:w="90" w:type="dxa"/>
              <w:end w:w="90" w:type="dxa"/>
            </w:tcMar>
            <w:shd w:fill="F5F8FB"/>
          </w:tcPr>
          <w:p>
            <w:pPr>
              <w:spacing w:after="0"/>
            </w:pPr>
            <w:r>
              <w:rPr>
                <w:rFonts w:ascii="Arial" w:hAnsi="Arial"/>
                <w:sz w:val="16"/>
              </w:rPr>
              <w:t>Final SQL file containing the strongest business queries and advanced SQL techniques.</w:t>
            </w:r>
          </w:p>
        </w:tc>
      </w:tr>
      <w:tr>
        <w:trPr>
          <w:cantSplit/>
        </w:trPr>
        <w:tc>
          <w:tcPr>
            <w:tcW w:type="dxa" w:w="3600"/>
            <w:vAlign w:val="top"/>
            <w:tcMar>
              <w:top w:w="90" w:type="dxa"/>
              <w:start w:w="90" w:type="dxa"/>
              <w:bottom w:w="90" w:type="dxa"/>
              <w:end w:w="90" w:type="dxa"/>
            </w:tcMar>
          </w:tcPr>
          <w:p>
            <w:pPr>
              <w:spacing w:after="0"/>
            </w:pPr>
            <w:r>
              <w:rPr>
                <w:rFonts w:ascii="Arial" w:hAnsi="Arial"/>
                <w:sz w:val="16"/>
              </w:rPr>
              <w:t>Final Python notebook</w:t>
            </w:r>
          </w:p>
        </w:tc>
        <w:tc>
          <w:tcPr>
            <w:tcW w:type="dxa" w:w="6624"/>
            <w:vAlign w:val="top"/>
            <w:tcMar>
              <w:top w:w="90" w:type="dxa"/>
              <w:start w:w="90" w:type="dxa"/>
              <w:bottom w:w="90" w:type="dxa"/>
              <w:end w:w="90" w:type="dxa"/>
            </w:tcMar>
          </w:tcPr>
          <w:p>
            <w:pPr>
              <w:spacing w:after="0"/>
            </w:pPr>
            <w:r>
              <w:rPr>
                <w:rFonts w:ascii="Arial" w:hAnsi="Arial"/>
                <w:sz w:val="16"/>
              </w:rPr>
              <w:t>Final/review notebook with data-quality, KPI, SQL-verification and reproducibility checks.</w:t>
            </w:r>
          </w:p>
        </w:tc>
      </w:tr>
      <w:tr>
        <w:trPr>
          <w:cantSplit/>
        </w:trPr>
        <w:tc>
          <w:tcPr>
            <w:tcW w:type="dxa" w:w="3600"/>
            <w:vAlign w:val="top"/>
            <w:tcMar>
              <w:top w:w="90" w:type="dxa"/>
              <w:start w:w="90" w:type="dxa"/>
              <w:bottom w:w="90" w:type="dxa"/>
              <w:end w:w="90" w:type="dxa"/>
            </w:tcMar>
            <w:shd w:fill="F5F8FB"/>
          </w:tcPr>
          <w:p>
            <w:pPr>
              <w:spacing w:after="0"/>
            </w:pPr>
            <w:r>
              <w:rPr>
                <w:rFonts w:ascii="Arial" w:hAnsi="Arial"/>
                <w:sz w:val="16"/>
              </w:rPr>
              <w:t>KPI documentation</w:t>
            </w:r>
          </w:p>
        </w:tc>
        <w:tc>
          <w:tcPr>
            <w:tcW w:type="dxa" w:w="6624"/>
            <w:vAlign w:val="top"/>
            <w:tcMar>
              <w:top w:w="90" w:type="dxa"/>
              <w:start w:w="90" w:type="dxa"/>
              <w:bottom w:w="90" w:type="dxa"/>
              <w:end w:w="90" w:type="dxa"/>
            </w:tcMar>
            <w:shd w:fill="F5F8FB"/>
          </w:tcPr>
          <w:p>
            <w:pPr>
              <w:spacing w:after="0"/>
            </w:pPr>
            <w:r>
              <w:rPr>
                <w:rFonts w:ascii="Arial" w:hAnsi="Arial"/>
                <w:sz w:val="16"/>
              </w:rPr>
              <w:t>KPI definitions, final values and interpretation documented in the project materials.</w:t>
            </w:r>
          </w:p>
        </w:tc>
      </w:tr>
      <w:tr>
        <w:trPr>
          <w:cantSplit/>
        </w:trPr>
        <w:tc>
          <w:tcPr>
            <w:tcW w:type="dxa" w:w="3600"/>
            <w:vAlign w:val="top"/>
            <w:tcMar>
              <w:top w:w="90" w:type="dxa"/>
              <w:start w:w="90" w:type="dxa"/>
              <w:bottom w:w="90" w:type="dxa"/>
              <w:end w:w="90" w:type="dxa"/>
            </w:tcMar>
          </w:tcPr>
          <w:p>
            <w:pPr>
              <w:spacing w:after="0"/>
            </w:pPr>
            <w:r>
              <w:rPr>
                <w:rFonts w:ascii="Arial" w:hAnsi="Arial"/>
                <w:sz w:val="16"/>
              </w:rPr>
              <w:t>Final business insights</w:t>
            </w:r>
          </w:p>
        </w:tc>
        <w:tc>
          <w:tcPr>
            <w:tcW w:type="dxa" w:w="6624"/>
            <w:vAlign w:val="top"/>
            <w:tcMar>
              <w:top w:w="90" w:type="dxa"/>
              <w:start w:w="90" w:type="dxa"/>
              <w:bottom w:w="90" w:type="dxa"/>
              <w:end w:w="90" w:type="dxa"/>
            </w:tcMar>
          </w:tcPr>
          <w:p>
            <w:pPr>
              <w:spacing w:after="0"/>
            </w:pPr>
            <w:r>
              <w:rPr>
                <w:rFonts w:ascii="Arial" w:hAnsi="Arial"/>
                <w:sz w:val="16"/>
              </w:rPr>
              <w:t>Five evidence-based final business insights with recommended actions.</w:t>
            </w:r>
          </w:p>
        </w:tc>
      </w:tr>
      <w:tr>
        <w:trPr>
          <w:cantSplit/>
        </w:trPr>
        <w:tc>
          <w:tcPr>
            <w:tcW w:type="dxa" w:w="3600"/>
            <w:vAlign w:val="top"/>
            <w:tcMar>
              <w:top w:w="90" w:type="dxa"/>
              <w:start w:w="90" w:type="dxa"/>
              <w:bottom w:w="90" w:type="dxa"/>
              <w:end w:w="90" w:type="dxa"/>
            </w:tcMar>
            <w:shd w:fill="F5F8FB"/>
          </w:tcPr>
          <w:p>
            <w:pPr>
              <w:spacing w:after="0"/>
            </w:pPr>
            <w:r>
              <w:rPr>
                <w:rFonts w:ascii="Arial" w:hAnsi="Arial"/>
                <w:sz w:val="16"/>
              </w:rPr>
              <w:t>Recommendations</w:t>
            </w:r>
          </w:p>
        </w:tc>
        <w:tc>
          <w:tcPr>
            <w:tcW w:type="dxa" w:w="6624"/>
            <w:vAlign w:val="top"/>
            <w:tcMar>
              <w:top w:w="90" w:type="dxa"/>
              <w:start w:w="90" w:type="dxa"/>
              <w:bottom w:w="90" w:type="dxa"/>
              <w:end w:w="90" w:type="dxa"/>
            </w:tcMar>
            <w:shd w:fill="F5F8FB"/>
          </w:tcPr>
          <w:p>
            <w:pPr>
              <w:spacing w:after="0"/>
            </w:pPr>
            <w:r>
              <w:rPr>
                <w:rFonts w:ascii="Arial" w:hAnsi="Arial"/>
                <w:sz w:val="16"/>
              </w:rPr>
              <w:t>Management recommendations directly linked to validated analytical findings.</w:t>
            </w:r>
          </w:p>
        </w:tc>
      </w:tr>
      <w:tr>
        <w:trPr>
          <w:cantSplit/>
        </w:trPr>
        <w:tc>
          <w:tcPr>
            <w:tcW w:type="dxa" w:w="3600"/>
            <w:vAlign w:val="top"/>
            <w:tcMar>
              <w:top w:w="90" w:type="dxa"/>
              <w:start w:w="90" w:type="dxa"/>
              <w:bottom w:w="90" w:type="dxa"/>
              <w:end w:w="90" w:type="dxa"/>
            </w:tcMar>
          </w:tcPr>
          <w:p>
            <w:pPr>
              <w:spacing w:after="0"/>
            </w:pPr>
            <w:r>
              <w:rPr>
                <w:rFonts w:ascii="Arial" w:hAnsi="Arial"/>
                <w:sz w:val="16"/>
              </w:rPr>
              <w:t>Validation evidence</w:t>
            </w:r>
          </w:p>
        </w:tc>
        <w:tc>
          <w:tcPr>
            <w:tcW w:type="dxa" w:w="6624"/>
            <w:vAlign w:val="top"/>
            <w:tcMar>
              <w:top w:w="90" w:type="dxa"/>
              <w:start w:w="90" w:type="dxa"/>
              <w:bottom w:w="90" w:type="dxa"/>
              <w:end w:w="90" w:type="dxa"/>
            </w:tcMar>
          </w:tcPr>
          <w:p>
            <w:pPr>
              <w:spacing w:after="0"/>
            </w:pPr>
            <w:r>
              <w:rPr>
                <w:rFonts w:ascii="Arial" w:hAnsi="Arial"/>
                <w:sz w:val="16"/>
              </w:rPr>
              <w:t>Cross-tool validation plus Week 4 test/refine/re-test evidence.</w:t>
            </w:r>
          </w:p>
        </w:tc>
      </w:tr>
      <w:tr>
        <w:trPr>
          <w:cantSplit/>
        </w:trPr>
        <w:tc>
          <w:tcPr>
            <w:tcW w:type="dxa" w:w="3600"/>
            <w:vAlign w:val="top"/>
            <w:tcMar>
              <w:top w:w="90" w:type="dxa"/>
              <w:start w:w="90" w:type="dxa"/>
              <w:bottom w:w="90" w:type="dxa"/>
              <w:end w:w="90" w:type="dxa"/>
            </w:tcMar>
            <w:shd w:fill="F5F8FB"/>
          </w:tcPr>
          <w:p>
            <w:pPr>
              <w:spacing w:after="0"/>
            </w:pPr>
            <w:r>
              <w:rPr>
                <w:rFonts w:ascii="Arial" w:hAnsi="Arial"/>
                <w:sz w:val="16"/>
              </w:rPr>
              <w:t>Data quality documentation</w:t>
            </w:r>
          </w:p>
        </w:tc>
        <w:tc>
          <w:tcPr>
            <w:tcW w:type="dxa" w:w="6624"/>
            <w:vAlign w:val="top"/>
            <w:tcMar>
              <w:top w:w="90" w:type="dxa"/>
              <w:start w:w="90" w:type="dxa"/>
              <w:bottom w:w="90" w:type="dxa"/>
              <w:end w:w="90" w:type="dxa"/>
            </w:tcMar>
            <w:shd w:fill="F5F8FB"/>
          </w:tcPr>
          <w:p>
            <w:pPr>
              <w:spacing w:after="0"/>
            </w:pPr>
            <w:r>
              <w:rPr>
                <w:rFonts w:ascii="Arial" w:hAnsi="Arial"/>
                <w:sz w:val="16"/>
              </w:rPr>
              <w:t>Cleaning history plus final Week 4 data-quality confirmation.</w:t>
            </w:r>
          </w:p>
        </w:tc>
      </w:tr>
      <w:tr>
        <w:trPr>
          <w:cantSplit/>
        </w:trPr>
        <w:tc>
          <w:tcPr>
            <w:tcW w:type="dxa" w:w="3600"/>
            <w:vAlign w:val="top"/>
            <w:tcMar>
              <w:top w:w="90" w:type="dxa"/>
              <w:start w:w="90" w:type="dxa"/>
              <w:bottom w:w="90" w:type="dxa"/>
              <w:end w:w="90" w:type="dxa"/>
            </w:tcMar>
          </w:tcPr>
          <w:p>
            <w:pPr>
              <w:spacing w:after="0"/>
            </w:pPr>
            <w:r>
              <w:rPr>
                <w:rFonts w:ascii="Arial" w:hAnsi="Arial"/>
                <w:sz w:val="16"/>
              </w:rPr>
              <w:t>Final project documentation</w:t>
            </w:r>
          </w:p>
        </w:tc>
        <w:tc>
          <w:tcPr>
            <w:tcW w:type="dxa" w:w="6624"/>
            <w:vAlign w:val="top"/>
            <w:tcMar>
              <w:top w:w="90" w:type="dxa"/>
              <w:start w:w="90" w:type="dxa"/>
              <w:bottom w:w="90" w:type="dxa"/>
              <w:end w:w="90" w:type="dxa"/>
            </w:tcMar>
          </w:tcPr>
          <w:p>
            <w:pPr>
              <w:spacing w:after="0"/>
            </w:pPr>
            <w:r>
              <w:rPr>
                <w:rFonts w:ascii="Arial" w:hAnsi="Arial"/>
                <w:sz w:val="16"/>
              </w:rPr>
              <w:t>This consolidated final project report plus supporting Week 4 documents.</w:t>
            </w:r>
          </w:p>
        </w:tc>
      </w:tr>
    </w:tbl>
    <w:p>
      <w:pPr>
        <w:spacing w:after="20"/>
      </w:pPr>
    </w:p>
    <w:p>
      <w:r>
        <w:rPr>
          <w:b/>
        </w:rPr>
        <w:t xml:space="preserve">Final conclusion. </w:t>
      </w:r>
      <w:r>
        <w:t>The FinTrust Data Analytics project progressed from business understanding and data preparation to advanced analysis, validation, dashboard refinement and final delivery. The final solution provides a coherent view of customer behaviour, transaction performance, operational failure patterns, digital engagement and synthetic risk-review activity. The major findings were tested across multiple tools, the final dashboard was functionally reviewed, and the limitations of the synthetic educational setting were documented. The project is therefore ready for final GitHub packaging and the individual 5–10 minute recorded presentation.</w:t>
      </w:r>
    </w:p>
    <w:p>
      <w:pPr>
        <w:pStyle w:val="ReportCaption"/>
        <w:jc w:val="center"/>
      </w:pPr>
      <w:r>
        <w:t>Prepared for the AnalystLab Africa Experience Lab – FinTrust Digital Bank Week 4 final submission.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FinTrust Digital Bank | Final Data Analytics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E5F97"/>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2323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spacing w:after="100"/>
    </w:pPr>
    <w:rPr>
      <w:rFonts w:ascii="Arial" w:hAnsi="Arial"/>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FinTrust Week 4 Final Project Report</dc:title>
  <dc:subject>Data Analytics Track – Final Business Intelligence &amp; Dashboard Solution</dc:subject>
  <dc:creator>Eric Kamau</dc:creator>
  <cp:keywords>FinTrust, Data Analytics, SQL, Python, Power BI, AnalystLab Africa</cp:keywords>
  <dc:description>generated by python-docx</dc:description>
  <cp:lastModifiedBy/>
  <cp:revision>1</cp:revision>
  <dcterms:created xsi:type="dcterms:W3CDTF">2013-12-23T23:15:00Z</dcterms:created>
  <dcterms:modified xsi:type="dcterms:W3CDTF">2013-12-23T23:15:00Z</dcterms:modified>
  <cp:category/>
</cp:coreProperties>
</file>