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FinTrust Digital Bank – Week 4</w:t>
      </w:r>
    </w:p>
    <w:p>
      <w:pPr>
        <w:jc w:val="center"/>
      </w:pPr>
      <w:r>
        <w:rPr>
          <w:b/>
          <w:sz w:val="36"/>
        </w:rPr>
        <w:t>Assumptions, Limitations &amp; Lessons Learned</w:t>
      </w:r>
    </w:p>
    <w:p>
      <w:pPr>
        <w:jc w:val="center"/>
      </w:pPr>
      <w:r>
        <w:rPr>
          <w:i/>
          <w:sz w:val="22"/>
        </w:rPr>
        <w:t>Data Analytics Track</w:t>
      </w:r>
    </w:p>
    <w:p>
      <w:r>
        <w:rPr>
          <w:b/>
        </w:rPr>
        <w:t xml:space="preserve">Purpose. </w:t>
      </w:r>
      <w:r>
        <w:t>This document records the main assumptions, limitations, responsible-use considerations, lessons learned and final improvement priorities for the FinTrust Data Analytics solution. It supports the Week 4 finalisation stage by making clear what the solution can demonstrate, what it cannot demonstrate, and what was learned while developing, testing and refining the work across Weeks 1–4.</w:t>
      </w:r>
    </w:p>
    <w:p>
      <w:pPr>
        <w:pStyle w:val="Heading1"/>
      </w:pPr>
      <w:r>
        <w:t>1. Final Assumptions</w:t>
      </w:r>
    </w:p>
    <w:p>
      <w:pPr>
        <w:pStyle w:val="ListBullet"/>
      </w:pPr>
      <w:r>
        <w:rPr>
          <w:b/>
        </w:rPr>
        <w:t xml:space="preserve">Synthetic project environment: </w:t>
      </w:r>
      <w:r>
        <w:t>FinTrust is a fictional organisation and the customer and transaction datasets are synthetic. The analysis is intended for educational and portfolio purposes.</w:t>
      </w:r>
    </w:p>
    <w:p>
      <w:pPr>
        <w:pStyle w:val="ListBullet"/>
      </w:pPr>
      <w:r>
        <w:rPr>
          <w:b/>
        </w:rPr>
        <w:t xml:space="preserve">Customer and transaction identifiers: </w:t>
      </w:r>
      <w:r>
        <w:t>Customer_ID and Transaction_ID are treated as the valid unique identifiers for customers and transactions. Customer names are not treated as unique identifiers.</w:t>
      </w:r>
    </w:p>
    <w:p>
      <w:pPr>
        <w:pStyle w:val="ListBullet"/>
      </w:pPr>
      <w:r>
        <w:rPr>
          <w:b/>
        </w:rPr>
        <w:t xml:space="preserve">Cleaned datasets are the analytical source of truth: </w:t>
      </w:r>
      <w:r>
        <w:t>The final SQL, Python and Power BI work uses the cleaned FinTrust customer and transaction datasets prepared during the project. Previously identified missing values in Device_Type and Location were handled during data preparation.</w:t>
      </w:r>
    </w:p>
    <w:p>
      <w:pPr>
        <w:pStyle w:val="ListBullet"/>
      </w:pPr>
      <w:r>
        <w:rPr>
          <w:b/>
        </w:rPr>
        <w:t xml:space="preserve">Transaction period: </w:t>
      </w:r>
      <w:r>
        <w:t>The available transaction data represents the January–March 2026 period. Findings about trends are therefore limited to this three-month window.</w:t>
      </w:r>
    </w:p>
    <w:p>
      <w:pPr>
        <w:pStyle w:val="ListBullet"/>
      </w:pPr>
      <w:r>
        <w:rPr>
          <w:b/>
        </w:rPr>
        <w:t xml:space="preserve">Risk review interpretation: </w:t>
      </w:r>
      <w:r>
        <w:t>Risk_Review_Flag is treated only as an educational review indicator. It is not interpreted as proof of fraud, financial crime or customer wrongdoing.</w:t>
      </w:r>
    </w:p>
    <w:p>
      <w:pPr>
        <w:pStyle w:val="ListBullet"/>
      </w:pPr>
      <w:r>
        <w:rPr>
          <w:b/>
        </w:rPr>
        <w:t xml:space="preserve">Association, not causation: </w:t>
      </w:r>
      <w:r>
        <w:t>Observed relationships, such as higher digital engagement being associated with higher transaction value, are interpreted as associations. The analysis does not establish causal relationships.</w:t>
      </w:r>
    </w:p>
    <w:p>
      <w:pPr>
        <w:pStyle w:val="Heading1"/>
      </w:pPr>
      <w:r>
        <w:t>2. Final Limitations</w:t>
      </w:r>
    </w:p>
    <w:p>
      <w:pPr>
        <w:pStyle w:val="ListBullet"/>
      </w:pPr>
      <w:r>
        <w:rPr>
          <w:b/>
        </w:rPr>
        <w:t xml:space="preserve">Synthetic data: </w:t>
      </w:r>
      <w:r>
        <w:t>Because the data is synthetic, the findings should not be treated as evidence of actual customer behaviour or real banking risk.</w:t>
      </w:r>
    </w:p>
    <w:p>
      <w:pPr>
        <w:pStyle w:val="ListBullet"/>
      </w:pPr>
      <w:r>
        <w:rPr>
          <w:b/>
        </w:rPr>
        <w:t xml:space="preserve">Short time horizon: </w:t>
      </w:r>
      <w:r>
        <w:t>Only three months of transaction history are available. This limits seasonal analysis, long-term trend detection and forecasting.</w:t>
      </w:r>
    </w:p>
    <w:p>
      <w:pPr>
        <w:pStyle w:val="ListBullet"/>
      </w:pPr>
      <w:r>
        <w:rPr>
          <w:b/>
        </w:rPr>
        <w:t xml:space="preserve">No causal modelling: </w:t>
      </w:r>
      <w:r>
        <w:t>The project is descriptive and diagnostic business intelligence work. It does not prove why a pattern occurred or whether one variable caused another.</w:t>
      </w:r>
    </w:p>
    <w:p>
      <w:pPr>
        <w:pStyle w:val="ListBullet"/>
      </w:pPr>
      <w:r>
        <w:rPr>
          <w:b/>
        </w:rPr>
        <w:t xml:space="preserve">Risk indicator scope: </w:t>
      </w:r>
      <w:r>
        <w:t>The Risk_Review_Flag is not a fraud label. The dashboard and recommendations therefore refer to review activity rather than confirmed fraud.</w:t>
      </w:r>
    </w:p>
    <w:p>
      <w:pPr>
        <w:pStyle w:val="ListBullet"/>
      </w:pPr>
      <w:r>
        <w:rPr>
          <w:b/>
        </w:rPr>
        <w:t xml:space="preserve">Limited external context: </w:t>
      </w:r>
      <w:r>
        <w:t>The analysis does not incorporate macroeconomic conditions, service outages, campaign calendars, customer complaints, branch events or other external factors that could explain changes in transaction behaviour.</w:t>
      </w:r>
    </w:p>
    <w:p>
      <w:pPr>
        <w:pStyle w:val="ListBullet"/>
      </w:pPr>
      <w:r>
        <w:rPr>
          <w:b/>
        </w:rPr>
        <w:t xml:space="preserve">Operational recommendations require business validation: </w:t>
      </w:r>
      <w:r>
        <w:t>Recommendations are evidence-based within the dataset, but real implementation would require confirmation from operations, risk, product, compliance and technology teams.</w:t>
      </w:r>
    </w:p>
    <w:p>
      <w:pPr>
        <w:pStyle w:val="ListBullet"/>
      </w:pPr>
      <w:r>
        <w:rPr>
          <w:b/>
        </w:rPr>
        <w:t xml:space="preserve">No production deployment: </w:t>
      </w:r>
      <w:r>
        <w:t>The Power BI dashboard, SQL scripts and Python notebooks are analytical project outputs and should not be represented as a production banking system.</w:t>
      </w:r>
    </w:p>
    <w:p>
      <w:pPr>
        <w:pStyle w:val="ListBullet"/>
      </w:pPr>
      <w:r>
        <w:rPr>
          <w:b/>
        </w:rPr>
        <w:t xml:space="preserve">Cross-track integration: </w:t>
      </w:r>
      <w:r>
        <w:t>The Data Analytics work explains how analytics could contribute to the wider FinTrust solution, but no integration with a live Data Science model, ML service or GenAI assistant should be claimed unless those outputs were actually received and used.</w:t>
      </w:r>
    </w:p>
    <w:p>
      <w:pPr>
        <w:pStyle w:val="Heading1"/>
      </w:pPr>
      <w:r>
        <w:t>3. Responsible-Use Considerations</w:t>
      </w:r>
    </w:p>
    <w:p>
      <w:pPr>
        <w:pStyle w:val="ListBullet"/>
      </w:pPr>
      <w:r>
        <w:t>Do not present Risk_Review_Flag as evidence that a customer committed fraud or financial crime.</w:t>
      </w:r>
    </w:p>
    <w:p>
      <w:pPr>
        <w:pStyle w:val="ListBullet"/>
      </w:pPr>
      <w:r>
        <w:t>Do not use the analysis to make unsupported personalised financial, legal or investment decisions.</w:t>
      </w:r>
    </w:p>
    <w:p>
      <w:pPr>
        <w:pStyle w:val="ListBullet"/>
      </w:pPr>
      <w:r>
        <w:t>Use customer-segment and engagement findings for analytical understanding, not for unfair or discriminatory treatment.</w:t>
      </w:r>
    </w:p>
    <w:p>
      <w:pPr>
        <w:pStyle w:val="ListBullet"/>
      </w:pPr>
      <w:r>
        <w:t>Treat high failure rates and high review rates as signals for further investigation, not as proof of root cause.</w:t>
      </w:r>
    </w:p>
    <w:p>
      <w:pPr>
        <w:pStyle w:val="ListBullet"/>
      </w:pPr>
      <w:r>
        <w:t>If the solution were adapted for real banking use, governance, privacy, security, access control, auditability and regulatory review would be required.</w:t>
      </w:r>
    </w:p>
    <w:p>
      <w:pPr>
        <w:pStyle w:val="Heading1"/>
      </w:pPr>
      <w:r>
        <w:t>4. What Worked Well</w:t>
      </w:r>
    </w:p>
    <w:p>
      <w:pPr>
        <w:ind w:left="0" w:firstLine="0"/>
      </w:pPr>
      <w:r>
        <w:rPr>
          <w:b w:val="0"/>
        </w:rPr>
        <w:t xml:space="preserve">1.  </w:t>
      </w:r>
      <w:r>
        <w:rPr>
          <w:b/>
        </w:rPr>
        <w:t xml:space="preserve">Cross-tool validation: </w:t>
      </w:r>
      <w:r>
        <w:t>Using SQL, Python and Power BI to check the same findings improved confidence in the results. Monthly trends, risk-review amount bands and failure-rate patterns were reproduced consistently across tools.</w:t>
      </w:r>
    </w:p>
    <w:p>
      <w:pPr>
        <w:ind w:left="0" w:firstLine="0"/>
      </w:pPr>
      <w:r>
        <w:rPr>
          <w:b w:val="0"/>
        </w:rPr>
        <w:t xml:space="preserve">2.  </w:t>
      </w:r>
      <w:r>
        <w:rPr>
          <w:b/>
        </w:rPr>
        <w:t xml:space="preserve">Progressive project development: </w:t>
      </w:r>
      <w:r>
        <w:t>The work built logically from Week 1 planning to Week 2 descriptive analysis, Week 3 deeper analysis and Week 4 final testing/refinement rather than restarting the project each week.</w:t>
      </w:r>
    </w:p>
    <w:p>
      <w:pPr>
        <w:ind w:left="0" w:firstLine="0"/>
      </w:pPr>
      <w:r>
        <w:rPr>
          <w:b w:val="0"/>
        </w:rPr>
        <w:t xml:space="preserve">3.  </w:t>
      </w:r>
      <w:r>
        <w:rPr>
          <w:b/>
        </w:rPr>
        <w:t xml:space="preserve">Decision-oriented dashboard development: </w:t>
      </w:r>
      <w:r>
        <w:t>The Power BI dashboard evolved from summary reporting into a more useful BI solution with normalized KPIs, risk-review analysis, a channel × transaction-type failure matrix, customer engagement analysis and customer-segment drill-through.</w:t>
      </w:r>
    </w:p>
    <w:p>
      <w:pPr>
        <w:pStyle w:val="Heading1"/>
      </w:pPr>
      <w:r>
        <w:t>5. Challenges Encountered</w:t>
      </w:r>
    </w:p>
    <w:p>
      <w:pPr>
        <w:ind w:left="0" w:firstLine="0"/>
      </w:pPr>
      <w:r>
        <w:rPr>
          <w:b w:val="0"/>
        </w:rPr>
        <w:t xml:space="preserve">1.  </w:t>
      </w:r>
      <w:r>
        <w:rPr>
          <w:b/>
        </w:rPr>
        <w:t xml:space="preserve">Moving beyond descriptive analysis: </w:t>
      </w:r>
      <w:r>
        <w:t>The Week 2 analysis was strong descriptively, but Week 3 required deeper comparisons and normalized measures. This was addressed by adding customer-level, month-over-month, amount-band and multi-dimensional analyses.</w:t>
      </w:r>
    </w:p>
    <w:p>
      <w:pPr>
        <w:ind w:left="0" w:firstLine="0"/>
      </w:pPr>
      <w:r>
        <w:rPr>
          <w:b w:val="0"/>
        </w:rPr>
        <w:t xml:space="preserve">2.  </w:t>
      </w:r>
      <w:r>
        <w:rPr>
          <w:b/>
        </w:rPr>
        <w:t xml:space="preserve">Maintaining consistency across tools: </w:t>
      </w:r>
      <w:r>
        <w:t>The same KPI or analytical result needed to match in SQL, Python and Power BI. This required repeated validation and careful use of consistent definitions and filters.</w:t>
      </w:r>
    </w:p>
    <w:p>
      <w:pPr>
        <w:ind w:left="0" w:firstLine="0"/>
      </w:pPr>
      <w:r>
        <w:rPr>
          <w:b w:val="0"/>
        </w:rPr>
        <w:t xml:space="preserve">3.  </w:t>
      </w:r>
      <w:r>
        <w:rPr>
          <w:b/>
        </w:rPr>
        <w:t xml:space="preserve">Power BI usability and drill-through: </w:t>
      </w:r>
      <w:r>
        <w:t>Improving the dashboard without overcrowding it required reorganising visuals, replacing weaker descriptive charts and testing drill-through and navigation behaviour.</w:t>
      </w:r>
    </w:p>
    <w:p>
      <w:pPr>
        <w:pStyle w:val="Heading1"/>
      </w:pPr>
      <w:r>
        <w:t>6. Key Lessons Learned</w:t>
      </w:r>
    </w:p>
    <w:p>
      <w:pPr>
        <w:ind w:left="0" w:firstLine="0"/>
      </w:pPr>
      <w:r>
        <w:rPr>
          <w:b w:val="0"/>
        </w:rPr>
        <w:t xml:space="preserve">1.  </w:t>
      </w:r>
      <w:r>
        <w:rPr>
          <w:b/>
        </w:rPr>
        <w:t xml:space="preserve">Validation is part of analysis, not an afterthought: </w:t>
      </w:r>
      <w:r>
        <w:t>A finding is stronger when it can be independently reproduced. Cross-checking results helped identify which findings were fully supported and which required a more cautious interpretation.</w:t>
      </w:r>
    </w:p>
    <w:p>
      <w:pPr>
        <w:ind w:left="0" w:firstLine="0"/>
      </w:pPr>
      <w:r>
        <w:rPr>
          <w:b w:val="0"/>
        </w:rPr>
        <w:t xml:space="preserve">2.  </w:t>
      </w:r>
      <w:r>
        <w:rPr>
          <w:b/>
        </w:rPr>
        <w:t xml:space="preserve">Totals can be misleading without normalization: </w:t>
      </w:r>
      <w:r>
        <w:t>The largest customer segment was not automatically the strongest on a per-customer basis. Measures such as transaction value per customer and transactions per customer provided better comparative insight.</w:t>
      </w:r>
    </w:p>
    <w:p>
      <w:pPr>
        <w:ind w:left="0" w:firstLine="0"/>
      </w:pPr>
      <w:r>
        <w:rPr>
          <w:b w:val="0"/>
        </w:rPr>
        <w:t xml:space="preserve">3.  </w:t>
      </w:r>
      <w:r>
        <w:rPr>
          <w:b/>
        </w:rPr>
        <w:t xml:space="preserve">Good dashboards require prioritisation: </w:t>
      </w:r>
      <w:r>
        <w:t>Adding more visuals does not automatically improve a dashboard. Replacing basic charts with more decision-relevant visuals and preserving clear page structure improved usability.</w:t>
      </w:r>
    </w:p>
    <w:p>
      <w:pPr>
        <w:pStyle w:val="Heading1"/>
      </w:pPr>
      <w:r>
        <w:t>7. Key Improvements Made Across the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</w:tcPr>
          <w:p>
            <w:r>
              <w:rPr>
                <w:color w:val="FFFFFF"/>
              </w:rPr>
              <w:t>Area</w:t>
            </w:r>
          </w:p>
        </w:tc>
        <w:tc>
          <w:tcPr>
            <w:tcW w:type="dxa" w:w="5040"/>
            <w:shd w:fill="1F4E79"/>
          </w:tcPr>
          <w:p>
            <w:r>
              <w:rPr>
                <w:color w:val="FFFFFF"/>
              </w:rPr>
              <w:t>Improvement</w:t>
            </w:r>
          </w:p>
        </w:tc>
      </w:tr>
      <w:tr>
        <w:tc>
          <w:tcPr>
            <w:tcW w:type="dxa" w:w="5040"/>
            <w:vAlign w:val="top"/>
          </w:tcPr>
          <w:p>
            <w:r>
              <w:t>SQL</w:t>
            </w:r>
          </w:p>
        </w:tc>
        <w:tc>
          <w:tcPr>
            <w:tcW w:type="dxa" w:w="5040"/>
            <w:vAlign w:val="top"/>
          </w:tcPr>
          <w:p>
            <w:r>
              <w:t>Moved from descriptive summaries to CTEs, window functions, rankings, NTILE, month-over-month analysis, normalized segment analysis and multi-dimensional failure/risk queries.</w:t>
            </w:r>
          </w:p>
        </w:tc>
      </w:tr>
      <w:tr>
        <w:tc>
          <w:tcPr>
            <w:tcW w:type="dxa" w:w="5040"/>
            <w:vAlign w:val="top"/>
          </w:tcPr>
          <w:p>
            <w:r>
              <w:t>Python</w:t>
            </w:r>
          </w:p>
        </w:tc>
        <w:tc>
          <w:tcPr>
            <w:tcW w:type="dxa" w:w="5040"/>
            <w:vAlign w:val="top"/>
          </w:tcPr>
          <w:p>
            <w:r>
              <w:t>Extended Week 2 EDA with trend analysis, comparative visualisation, segmentation, risk amount bands and cross-tool validation.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Power BI</w:t>
            </w:r>
          </w:p>
        </w:tc>
        <w:tc>
          <w:tcPr>
            <w:tcW w:type="dxa" w:w="5040"/>
            <w:vAlign w:val="top"/>
          </w:tcPr>
          <w:p>
            <w:r>
              <w:t>Added normalized KPIs, failure-rate matrix, amount-band risk analysis, digital-engagement views, customer-segment analysis and drill-through.</w:t>
            </w:r>
          </w:p>
        </w:tc>
      </w:tr>
      <w:tr>
        <w:tc>
          <w:tcPr>
            <w:tcW w:type="dxa" w:w="5040"/>
            <w:vAlign w:val="top"/>
          </w:tcPr>
          <w:p>
            <w:r>
              <w:t>Validation</w:t>
            </w:r>
          </w:p>
        </w:tc>
        <w:tc>
          <w:tcPr>
            <w:tcW w:type="dxa" w:w="5040"/>
            <w:vAlign w:val="top"/>
          </w:tcPr>
          <w:p>
            <w:r>
              <w:t>Recalculated KPIs and key findings, checked data quality and referential integrity, tested Python reproducibility, and compared SQL/Python/Power BI outputs.</w:t>
            </w:r>
          </w:p>
        </w:tc>
      </w:tr>
      <w:tr>
        <w:tc>
          <w:tcPr>
            <w:tcW w:type="dxa" w:w="5040"/>
            <w:vAlign w:val="top"/>
          </w:tcPr>
          <w:p>
            <w:r>
              <w:t>Documentation</w:t>
            </w:r>
          </w:p>
        </w:tc>
        <w:tc>
          <w:tcPr>
            <w:tcW w:type="dxa" w:w="5040"/>
            <w:vAlign w:val="top"/>
          </w:tcPr>
          <w:p>
            <w:r>
              <w:t>Documented findings, evidence, business meaning, recommendations, limitations, responsible-use considerations and refinement evidence.</w:t>
            </w:r>
          </w:p>
        </w:tc>
      </w:tr>
    </w:tbl>
    <w:p>
      <w:pPr>
        <w:pStyle w:val="Heading1"/>
      </w:pPr>
      <w:r>
        <w:t>8. Recommendations for Future Project Work</w:t>
      </w:r>
    </w:p>
    <w:p>
      <w:pPr>
        <w:pStyle w:val="ListBullet"/>
      </w:pPr>
      <w:r>
        <w:t>Use a longer time period to support seasonality, trend stability and forecasting.</w:t>
      </w:r>
    </w:p>
    <w:p>
      <w:pPr>
        <w:pStyle w:val="ListBullet"/>
      </w:pPr>
      <w:r>
        <w:t>Add operational context such as outages, campaign dates, complaint data or service incidents to help explain observed changes.</w:t>
      </w:r>
    </w:p>
    <w:p>
      <w:pPr>
        <w:pStyle w:val="ListBullet"/>
      </w:pPr>
      <w:r>
        <w:t>Define a formal data dictionary and KPI catalogue early so that SQL, Python and Power BI calculations remain aligned throughout the project.</w:t>
      </w:r>
    </w:p>
    <w:p>
      <w:pPr>
        <w:pStyle w:val="ListBullet"/>
      </w:pPr>
      <w:r>
        <w:t>Automate more validation checks so data quality and KPI consistency can be rerun quickly after changes.</w:t>
      </w:r>
    </w:p>
    <w:p>
      <w:pPr>
        <w:pStyle w:val="ListBullet"/>
      </w:pPr>
      <w:r>
        <w:t>For a real deployment, involve risk, compliance, security, operations and product stakeholders before acting on analytical recommendations.</w:t>
      </w:r>
    </w:p>
    <w:p>
      <w:pPr>
        <w:pStyle w:val="Heading1"/>
      </w:pPr>
      <w:r>
        <w:t>9. Final Reflection</w:t>
      </w:r>
    </w:p>
    <w:p>
      <w:r>
        <w:t xml:space="preserve">The FinTrust project demonstrated a complete analytics workflow from business understanding and data preparation through advanced analysis, dashboard development, testing, validation and final communication. </w:t>
      </w:r>
      <w:r>
        <w:rPr>
          <w:b/>
        </w:rPr>
        <w:t xml:space="preserve">The strongest improvement across the project was the shift from reporting what happened to validating patterns and explaining what they mean for decision-making. </w:t>
      </w:r>
      <w:r>
        <w:t>The final solution remains an educational business intelligence project built on synthetic data, but it demonstrates a structured and reproducible approach to analytical problem-solving.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FinTrust Digital Bank – Week 4 | Data Analytics Track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