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FinTrust Digital Bank</w:t>
      </w:r>
    </w:p>
    <w:p>
      <w:pPr>
        <w:jc w:val="center"/>
      </w:pPr>
      <w:r>
        <w:rPr>
          <w:b/>
          <w:sz w:val="34"/>
        </w:rPr>
        <w:t>Week 4 - Part D: Final Business Insights</w:t>
      </w:r>
    </w:p>
    <w:p>
      <w:pPr>
        <w:spacing w:after="200"/>
      </w:pPr>
      <w:r>
        <w:rPr>
          <w:b/>
        </w:rPr>
        <w:t xml:space="preserve">Purpose. </w:t>
      </w:r>
      <w:r>
        <w:t>This document presents the final business insights from the FinTrust Data Analytics track. Each insight follows the required Week 4 structure: Finding -&gt; Evidence -&gt; Business Meaning -&gt; Recommended Action. The insights consolidate the strongest results from the final SQL, Python and Power BI analyses and translate them into management-relevant actions.</w:t>
      </w:r>
    </w:p>
    <w:p>
      <w:pPr>
        <w:pStyle w:val="Heading1"/>
        <w:keepNext/>
      </w:pPr>
      <w:r>
        <w:t>1. Monthly transaction performance weakened in February and recovered in March</w:t>
      </w:r>
    </w:p>
    <w:tbl>
      <w:tblPr>
        <w:tblStyle w:val="TableGrid"/>
        <w:tblW w:type="auto" w:w="0"/>
        <w:jc w:val="center"/>
        <w:tblLook w:firstColumn="1" w:firstRow="1" w:lastColumn="0" w:lastRow="0" w:noHBand="0" w:noVBand="1" w:val="04A0"/>
      </w:tblPr>
      <w:tblGrid>
        <w:gridCol w:w="2088"/>
        <w:gridCol w:w="8568"/>
      </w:tblGrid>
      <w:tr>
        <w:trPr>
          <w:cantSplit/>
        </w:trPr>
        <w:tc>
          <w:tcPr>
            <w:tcW w:type="dxa" w:w="5184"/>
            <w:vAlign w:val="center"/>
            <w:shd w:fill="1F4E79"/>
          </w:tcPr>
          <w:p>
            <w:pPr>
              <w:spacing w:after="0"/>
            </w:pPr>
            <w:r/>
            <w:r>
              <w:rPr>
                <w:rFonts w:ascii="Aptos" w:hAnsi="Aptos"/>
                <w:b/>
                <w:color w:val="FFFFFF"/>
                <w:sz w:val="18"/>
              </w:rPr>
              <w:t>Finding</w:t>
            </w:r>
          </w:p>
        </w:tc>
        <w:tc>
          <w:tcPr>
            <w:tcW w:type="dxa" w:w="5184"/>
            <w:vAlign w:val="center"/>
          </w:tcPr>
          <w:p>
            <w:pPr>
              <w:spacing w:after="0"/>
            </w:pPr>
            <w:r/>
            <w:r>
              <w:rPr>
                <w:rFonts w:ascii="Aptos" w:hAnsi="Aptos"/>
                <w:b w:val="0"/>
                <w:sz w:val="18"/>
              </w:rPr>
              <w:t>FinTrust experienced a decline in transaction activity in February 2026 followed by a strong recovery in March.</w:t>
            </w:r>
          </w:p>
        </w:tc>
      </w:tr>
      <w:tr>
        <w:trPr>
          <w:cantSplit/>
        </w:trPr>
        <w:tc>
          <w:tcPr>
            <w:tcW w:type="dxa" w:w="5184"/>
            <w:vAlign w:val="center"/>
            <w:shd w:fill="1F4E79"/>
          </w:tcPr>
          <w:p>
            <w:pPr>
              <w:spacing w:after="0"/>
            </w:pPr>
            <w:r/>
            <w:r>
              <w:rPr>
                <w:rFonts w:ascii="Aptos" w:hAnsi="Aptos"/>
                <w:b/>
                <w:color w:val="FFFFFF"/>
                <w:sz w:val="18"/>
              </w:rPr>
              <w:t>Evidence</w:t>
            </w:r>
          </w:p>
        </w:tc>
        <w:tc>
          <w:tcPr>
            <w:tcW w:type="dxa" w:w="5184"/>
            <w:vAlign w:val="center"/>
          </w:tcPr>
          <w:p>
            <w:pPr>
              <w:spacing w:after="0"/>
            </w:pPr>
            <w:r/>
            <w:r>
              <w:rPr>
                <w:rFonts w:ascii="Aptos" w:hAnsi="Aptos"/>
                <w:b w:val="0"/>
                <w:sz w:val="18"/>
              </w:rPr>
              <w:t>January recorded 4,133 transactions worth NGN 188.49M. February declined to 3,734 transactions worth NGN 175.79M. March recovered to 4,133 transactions worth NGN 196.20M.</w:t>
            </w:r>
          </w:p>
        </w:tc>
      </w:tr>
      <w:tr>
        <w:trPr>
          <w:cantSplit/>
        </w:trPr>
        <w:tc>
          <w:tcPr>
            <w:tcW w:type="dxa" w:w="5184"/>
            <w:vAlign w:val="center"/>
            <w:shd w:fill="1F4E79"/>
          </w:tcPr>
          <w:p>
            <w:pPr>
              <w:spacing w:after="0"/>
            </w:pPr>
            <w:r/>
            <w:r>
              <w:rPr>
                <w:rFonts w:ascii="Aptos" w:hAnsi="Aptos"/>
                <w:b/>
                <w:color w:val="FFFFFF"/>
                <w:sz w:val="18"/>
              </w:rPr>
              <w:t>Business Meaning</w:t>
            </w:r>
          </w:p>
        </w:tc>
        <w:tc>
          <w:tcPr>
            <w:tcW w:type="dxa" w:w="5184"/>
            <w:vAlign w:val="center"/>
          </w:tcPr>
          <w:p>
            <w:pPr>
              <w:spacing w:after="0"/>
            </w:pPr>
            <w:r/>
            <w:r>
              <w:rPr>
                <w:rFonts w:ascii="Aptos" w:hAnsi="Aptos"/>
                <w:b w:val="0"/>
                <w:sz w:val="18"/>
              </w:rPr>
              <w:t>The February decline shows that transaction activity can change noticeably from month to month. March returned to January's transaction volume but generated greater transaction value, indicating stronger value performance.</w:t>
            </w:r>
          </w:p>
        </w:tc>
      </w:tr>
      <w:tr>
        <w:trPr>
          <w:cantSplit/>
        </w:trPr>
        <w:tc>
          <w:tcPr>
            <w:tcW w:type="dxa" w:w="5184"/>
            <w:vAlign w:val="center"/>
            <w:shd w:fill="1F4E79"/>
          </w:tcPr>
          <w:p>
            <w:pPr>
              <w:spacing w:after="0"/>
            </w:pPr>
            <w:r/>
            <w:r>
              <w:rPr>
                <w:rFonts w:ascii="Aptos" w:hAnsi="Aptos"/>
                <w:b/>
                <w:color w:val="FFFFFF"/>
                <w:sz w:val="18"/>
              </w:rPr>
              <w:t>Recommended Action</w:t>
            </w:r>
          </w:p>
        </w:tc>
        <w:tc>
          <w:tcPr>
            <w:tcW w:type="dxa" w:w="5184"/>
            <w:vAlign w:val="center"/>
          </w:tcPr>
          <w:p>
            <w:pPr>
              <w:spacing w:after="0"/>
            </w:pPr>
            <w:r/>
            <w:r>
              <w:rPr>
                <w:rFonts w:ascii="Aptos" w:hAnsi="Aptos"/>
                <w:b w:val="0"/>
                <w:sz w:val="18"/>
              </w:rPr>
              <w:t>Monitor month-over-month transaction volume and value and investigate significant changes by channel, transaction type and customer segment.</w:t>
            </w:r>
          </w:p>
        </w:tc>
      </w:tr>
    </w:tbl>
    <w:p>
      <w:pPr>
        <w:spacing w:after="40"/>
      </w:pPr>
    </w:p>
    <w:p>
      <w:pPr>
        <w:pStyle w:val="Heading1"/>
        <w:keepNext/>
      </w:pPr>
      <w:r>
        <w:t>2. Higher-value transactions receive substantially more risk-review attention</w:t>
      </w:r>
    </w:p>
    <w:tbl>
      <w:tblPr>
        <w:tblStyle w:val="TableGrid"/>
        <w:tblW w:type="auto" w:w="0"/>
        <w:jc w:val="center"/>
        <w:tblLook w:firstColumn="1" w:firstRow="1" w:lastColumn="0" w:lastRow="0" w:noHBand="0" w:noVBand="1" w:val="04A0"/>
      </w:tblPr>
      <w:tblGrid>
        <w:gridCol w:w="2088"/>
        <w:gridCol w:w="8568"/>
      </w:tblGrid>
      <w:tr>
        <w:trPr>
          <w:cantSplit/>
        </w:trPr>
        <w:tc>
          <w:tcPr>
            <w:tcW w:type="dxa" w:w="5184"/>
            <w:vAlign w:val="center"/>
            <w:shd w:fill="1F4E79"/>
          </w:tcPr>
          <w:p>
            <w:pPr>
              <w:spacing w:after="0"/>
            </w:pPr>
            <w:r/>
            <w:r>
              <w:rPr>
                <w:rFonts w:ascii="Aptos" w:hAnsi="Aptos"/>
                <w:b/>
                <w:color w:val="FFFFFF"/>
                <w:sz w:val="18"/>
              </w:rPr>
              <w:t>Finding</w:t>
            </w:r>
          </w:p>
        </w:tc>
        <w:tc>
          <w:tcPr>
            <w:tcW w:type="dxa" w:w="5184"/>
            <w:vAlign w:val="center"/>
          </w:tcPr>
          <w:p>
            <w:pPr>
              <w:spacing w:after="0"/>
            </w:pPr>
            <w:r/>
            <w:r>
              <w:rPr>
                <w:rFonts w:ascii="Aptos" w:hAnsi="Aptos"/>
                <w:b w:val="0"/>
                <w:sz w:val="18"/>
              </w:rPr>
              <w:t>Risk-review rates rise as transaction values increase.</w:t>
            </w:r>
          </w:p>
        </w:tc>
      </w:tr>
      <w:tr>
        <w:trPr>
          <w:cantSplit/>
        </w:trPr>
        <w:tc>
          <w:tcPr>
            <w:tcW w:type="dxa" w:w="5184"/>
            <w:vAlign w:val="center"/>
            <w:shd w:fill="1F4E79"/>
          </w:tcPr>
          <w:p>
            <w:pPr>
              <w:spacing w:after="0"/>
            </w:pPr>
            <w:r/>
            <w:r>
              <w:rPr>
                <w:rFonts w:ascii="Aptos" w:hAnsi="Aptos"/>
                <w:b/>
                <w:color w:val="FFFFFF"/>
                <w:sz w:val="18"/>
              </w:rPr>
              <w:t>Evidence</w:t>
            </w:r>
          </w:p>
        </w:tc>
        <w:tc>
          <w:tcPr>
            <w:tcW w:type="dxa" w:w="5184"/>
            <w:vAlign w:val="center"/>
          </w:tcPr>
          <w:p>
            <w:pPr>
              <w:spacing w:after="0"/>
            </w:pPr>
            <w:r/>
            <w:r>
              <w:rPr>
                <w:rFonts w:ascii="Aptos" w:hAnsi="Aptos"/>
                <w:b w:val="0"/>
                <w:sz w:val="18"/>
              </w:rPr>
              <w:t>Risk-review rates were 17.66% below NGN 10K, 17.81% for NGN 10K-49,999, 18.95% for NGN 50K-99,999, 22.13% for NGN 100K-199,999 and 40.54% for NGN 200K and above.</w:t>
            </w:r>
          </w:p>
        </w:tc>
      </w:tr>
      <w:tr>
        <w:trPr>
          <w:cantSplit/>
        </w:trPr>
        <w:tc>
          <w:tcPr>
            <w:tcW w:type="dxa" w:w="5184"/>
            <w:vAlign w:val="center"/>
            <w:shd w:fill="1F4E79"/>
          </w:tcPr>
          <w:p>
            <w:pPr>
              <w:spacing w:after="0"/>
            </w:pPr>
            <w:r/>
            <w:r>
              <w:rPr>
                <w:rFonts w:ascii="Aptos" w:hAnsi="Aptos"/>
                <w:b/>
                <w:color w:val="FFFFFF"/>
                <w:sz w:val="18"/>
              </w:rPr>
              <w:t>Business Meaning</w:t>
            </w:r>
          </w:p>
        </w:tc>
        <w:tc>
          <w:tcPr>
            <w:tcW w:type="dxa" w:w="5184"/>
            <w:vAlign w:val="center"/>
          </w:tcPr>
          <w:p>
            <w:pPr>
              <w:spacing w:after="0"/>
            </w:pPr>
            <w:r/>
            <w:r>
              <w:rPr>
                <w:rFonts w:ascii="Aptos" w:hAnsi="Aptos"/>
                <w:b w:val="0"/>
                <w:sz w:val="18"/>
              </w:rPr>
              <w:t>High-value transactions are much more likely to be selected for additional review, particularly above NGN 200,000.</w:t>
            </w:r>
          </w:p>
        </w:tc>
      </w:tr>
      <w:tr>
        <w:trPr>
          <w:cantSplit/>
        </w:trPr>
        <w:tc>
          <w:tcPr>
            <w:tcW w:type="dxa" w:w="5184"/>
            <w:vAlign w:val="center"/>
            <w:shd w:fill="1F4E79"/>
          </w:tcPr>
          <w:p>
            <w:pPr>
              <w:spacing w:after="0"/>
            </w:pPr>
            <w:r/>
            <w:r>
              <w:rPr>
                <w:rFonts w:ascii="Aptos" w:hAnsi="Aptos"/>
                <w:b/>
                <w:color w:val="FFFFFF"/>
                <w:sz w:val="18"/>
              </w:rPr>
              <w:t>Recommended Action</w:t>
            </w:r>
          </w:p>
        </w:tc>
        <w:tc>
          <w:tcPr>
            <w:tcW w:type="dxa" w:w="5184"/>
            <w:vAlign w:val="center"/>
          </w:tcPr>
          <w:p>
            <w:pPr>
              <w:spacing w:after="0"/>
            </w:pPr>
            <w:r/>
            <w:r>
              <w:rPr>
                <w:rFonts w:ascii="Aptos" w:hAnsi="Aptos"/>
                <w:b w:val="0"/>
                <w:sz w:val="18"/>
              </w:rPr>
              <w:t>Maintain enhanced review attention for high-value transactions while periodically assessing whether review thresholds remain operationally appropriate.</w:t>
            </w:r>
          </w:p>
        </w:tc>
      </w:tr>
    </w:tbl>
    <w:p>
      <w:pPr>
        <w:spacing w:after="40"/>
      </w:pPr>
    </w:p>
    <w:p>
      <w:r>
        <w:br w:type="page"/>
      </w:r>
    </w:p>
    <w:p>
      <w:pPr>
        <w:pStyle w:val="Heading1"/>
        <w:keepNext/>
      </w:pPr>
      <w:r>
        <w:t>3. Transaction failures are concentrated in specific channel and transaction-type combinations</w:t>
      </w:r>
    </w:p>
    <w:tbl>
      <w:tblPr>
        <w:tblStyle w:val="TableGrid"/>
        <w:tblW w:type="auto" w:w="0"/>
        <w:jc w:val="center"/>
        <w:tblLook w:firstColumn="1" w:firstRow="1" w:lastColumn="0" w:lastRow="0" w:noHBand="0" w:noVBand="1" w:val="04A0"/>
      </w:tblPr>
      <w:tblGrid>
        <w:gridCol w:w="2088"/>
        <w:gridCol w:w="8568"/>
      </w:tblGrid>
      <w:tr>
        <w:trPr>
          <w:cantSplit/>
        </w:trPr>
        <w:tc>
          <w:tcPr>
            <w:tcW w:type="dxa" w:w="5184"/>
            <w:vAlign w:val="center"/>
            <w:shd w:fill="1F4E79"/>
          </w:tcPr>
          <w:p>
            <w:pPr>
              <w:spacing w:after="0"/>
            </w:pPr>
            <w:r/>
            <w:r>
              <w:rPr>
                <w:rFonts w:ascii="Aptos" w:hAnsi="Aptos"/>
                <w:b/>
                <w:color w:val="FFFFFF"/>
                <w:sz w:val="18"/>
              </w:rPr>
              <w:t>Finding</w:t>
            </w:r>
          </w:p>
        </w:tc>
        <w:tc>
          <w:tcPr>
            <w:tcW w:type="dxa" w:w="5184"/>
            <w:vAlign w:val="center"/>
          </w:tcPr>
          <w:p>
            <w:pPr>
              <w:spacing w:after="0"/>
            </w:pPr>
            <w:r/>
            <w:r>
              <w:rPr>
                <w:rFonts w:ascii="Aptos" w:hAnsi="Aptos"/>
                <w:b w:val="0"/>
                <w:sz w:val="18"/>
              </w:rPr>
              <w:t>Failure rates are not evenly distributed across banking channels and transaction types.</w:t>
            </w:r>
          </w:p>
        </w:tc>
      </w:tr>
      <w:tr>
        <w:trPr>
          <w:cantSplit/>
        </w:trPr>
        <w:tc>
          <w:tcPr>
            <w:tcW w:type="dxa" w:w="5184"/>
            <w:vAlign w:val="center"/>
            <w:shd w:fill="1F4E79"/>
          </w:tcPr>
          <w:p>
            <w:pPr>
              <w:spacing w:after="0"/>
            </w:pPr>
            <w:r/>
            <w:r>
              <w:rPr>
                <w:rFonts w:ascii="Aptos" w:hAnsi="Aptos"/>
                <w:b/>
                <w:color w:val="FFFFFF"/>
                <w:sz w:val="18"/>
              </w:rPr>
              <w:t>Evidence</w:t>
            </w:r>
          </w:p>
        </w:tc>
        <w:tc>
          <w:tcPr>
            <w:tcW w:type="dxa" w:w="5184"/>
            <w:vAlign w:val="center"/>
          </w:tcPr>
          <w:p>
            <w:pPr>
              <w:spacing w:after="0"/>
            </w:pPr>
            <w:r/>
            <w:r>
              <w:rPr>
                <w:rFonts w:ascii="Aptos" w:hAnsi="Aptos"/>
                <w:b w:val="0"/>
                <w:sz w:val="18"/>
              </w:rPr>
              <w:t>The highest observed failure rates included POS + Bill Payment at 7.22%, USSD + Transfer at 7.20%, POS + Deposit at 6.34% and Web + Bill Payment at 6.28%. Mobile App + Transfer had a lower percentage failure rate of 6.09% but generated 93 failed transactions because of its higher volume.</w:t>
            </w:r>
          </w:p>
        </w:tc>
      </w:tr>
      <w:tr>
        <w:trPr>
          <w:cantSplit/>
        </w:trPr>
        <w:tc>
          <w:tcPr>
            <w:tcW w:type="dxa" w:w="5184"/>
            <w:vAlign w:val="center"/>
            <w:shd w:fill="1F4E79"/>
          </w:tcPr>
          <w:p>
            <w:pPr>
              <w:spacing w:after="0"/>
            </w:pPr>
            <w:r/>
            <w:r>
              <w:rPr>
                <w:rFonts w:ascii="Aptos" w:hAnsi="Aptos"/>
                <w:b/>
                <w:color w:val="FFFFFF"/>
                <w:sz w:val="18"/>
              </w:rPr>
              <w:t>Business Meaning</w:t>
            </w:r>
          </w:p>
        </w:tc>
        <w:tc>
          <w:tcPr>
            <w:tcW w:type="dxa" w:w="5184"/>
            <w:vAlign w:val="center"/>
          </w:tcPr>
          <w:p>
            <w:pPr>
              <w:spacing w:after="0"/>
            </w:pPr>
            <w:r/>
            <w:r>
              <w:rPr>
                <w:rFonts w:ascii="Aptos" w:hAnsi="Aptos"/>
                <w:b w:val="0"/>
                <w:sz w:val="18"/>
              </w:rPr>
              <w:t>Overall failure rates can hide operational problems within specific services. Both failure percentage and absolute failure count matter when assessing operational impact.</w:t>
            </w:r>
          </w:p>
        </w:tc>
      </w:tr>
      <w:tr>
        <w:trPr>
          <w:cantSplit/>
        </w:trPr>
        <w:tc>
          <w:tcPr>
            <w:tcW w:type="dxa" w:w="5184"/>
            <w:vAlign w:val="center"/>
            <w:shd w:fill="1F4E79"/>
          </w:tcPr>
          <w:p>
            <w:pPr>
              <w:spacing w:after="0"/>
            </w:pPr>
            <w:r/>
            <w:r>
              <w:rPr>
                <w:rFonts w:ascii="Aptos" w:hAnsi="Aptos"/>
                <w:b/>
                <w:color w:val="FFFFFF"/>
                <w:sz w:val="18"/>
              </w:rPr>
              <w:t>Recommended Action</w:t>
            </w:r>
          </w:p>
        </w:tc>
        <w:tc>
          <w:tcPr>
            <w:tcW w:type="dxa" w:w="5184"/>
            <w:vAlign w:val="center"/>
          </w:tcPr>
          <w:p>
            <w:pPr>
              <w:spacing w:after="0"/>
            </w:pPr>
            <w:r/>
            <w:r>
              <w:rPr>
                <w:rFonts w:ascii="Aptos" w:hAnsi="Aptos"/>
                <w:b w:val="0"/>
                <w:sz w:val="18"/>
              </w:rPr>
              <w:t>Monitor failures at the Channel x Transaction Type level and prioritize combinations showing either unusually high failure rates or large numbers of failed transactions.</w:t>
            </w:r>
          </w:p>
        </w:tc>
      </w:tr>
    </w:tbl>
    <w:p>
      <w:pPr>
        <w:spacing w:after="40"/>
      </w:pPr>
    </w:p>
    <w:p>
      <w:pPr>
        <w:pStyle w:val="Heading1"/>
        <w:keepNext/>
      </w:pPr>
      <w:r>
        <w:t>4. Customer segment size can hide differences in per-customer performance</w:t>
      </w:r>
    </w:p>
    <w:tbl>
      <w:tblPr>
        <w:tblStyle w:val="TableGrid"/>
        <w:tblW w:type="auto" w:w="0"/>
        <w:jc w:val="center"/>
        <w:tblLook w:firstColumn="1" w:firstRow="1" w:lastColumn="0" w:lastRow="0" w:noHBand="0" w:noVBand="1" w:val="04A0"/>
      </w:tblPr>
      <w:tblGrid>
        <w:gridCol w:w="2088"/>
        <w:gridCol w:w="8568"/>
      </w:tblGrid>
      <w:tr>
        <w:trPr>
          <w:cantSplit/>
        </w:trPr>
        <w:tc>
          <w:tcPr>
            <w:tcW w:type="dxa" w:w="5184"/>
            <w:vAlign w:val="center"/>
            <w:shd w:fill="1F4E79"/>
          </w:tcPr>
          <w:p>
            <w:pPr>
              <w:spacing w:after="0"/>
            </w:pPr>
            <w:r/>
            <w:r>
              <w:rPr>
                <w:rFonts w:ascii="Aptos" w:hAnsi="Aptos"/>
                <w:b/>
                <w:color w:val="FFFFFF"/>
                <w:sz w:val="18"/>
              </w:rPr>
              <w:t>Finding</w:t>
            </w:r>
          </w:p>
        </w:tc>
        <w:tc>
          <w:tcPr>
            <w:tcW w:type="dxa" w:w="5184"/>
            <w:vAlign w:val="center"/>
          </w:tcPr>
          <w:p>
            <w:pPr>
              <w:spacing w:after="0"/>
            </w:pPr>
            <w:r/>
            <w:r>
              <w:rPr>
                <w:rFonts w:ascii="Aptos" w:hAnsi="Aptos"/>
                <w:b w:val="0"/>
                <w:sz w:val="18"/>
              </w:rPr>
              <w:t>The segment producing the highest overall activity is not necessarily the strongest on a per-customer basis.</w:t>
            </w:r>
          </w:p>
        </w:tc>
      </w:tr>
      <w:tr>
        <w:trPr>
          <w:cantSplit/>
        </w:trPr>
        <w:tc>
          <w:tcPr>
            <w:tcW w:type="dxa" w:w="5184"/>
            <w:vAlign w:val="center"/>
            <w:shd w:fill="1F4E79"/>
          </w:tcPr>
          <w:p>
            <w:pPr>
              <w:spacing w:after="0"/>
            </w:pPr>
            <w:r/>
            <w:r>
              <w:rPr>
                <w:rFonts w:ascii="Aptos" w:hAnsi="Aptos"/>
                <w:b/>
                <w:color w:val="FFFFFF"/>
                <w:sz w:val="18"/>
              </w:rPr>
              <w:t>Evidence</w:t>
            </w:r>
          </w:p>
        </w:tc>
        <w:tc>
          <w:tcPr>
            <w:tcW w:type="dxa" w:w="5184"/>
            <w:vAlign w:val="center"/>
          </w:tcPr>
          <w:p>
            <w:pPr>
              <w:spacing w:after="0"/>
            </w:pPr>
            <w:r/>
            <w:r>
              <w:rPr>
                <w:rFonts w:ascii="Aptos" w:hAnsi="Aptos"/>
                <w:b w:val="0"/>
                <w:sz w:val="18"/>
              </w:rPr>
              <w:t>Everyday customers generated the largest overall activity because they were the largest segment. After normalization, SME generated the highest transaction value per customer at NGN 387,923.02, while Student customers recorded the highest transaction frequency at 8.23 transactions per customer.</w:t>
            </w:r>
          </w:p>
        </w:tc>
      </w:tr>
      <w:tr>
        <w:trPr>
          <w:cantSplit/>
        </w:trPr>
        <w:tc>
          <w:tcPr>
            <w:tcW w:type="dxa" w:w="5184"/>
            <w:vAlign w:val="center"/>
            <w:shd w:fill="1F4E79"/>
          </w:tcPr>
          <w:p>
            <w:pPr>
              <w:spacing w:after="0"/>
            </w:pPr>
            <w:r/>
            <w:r>
              <w:rPr>
                <w:rFonts w:ascii="Aptos" w:hAnsi="Aptos"/>
                <w:b/>
                <w:color w:val="FFFFFF"/>
                <w:sz w:val="18"/>
              </w:rPr>
              <w:t>Business Meaning</w:t>
            </w:r>
          </w:p>
        </w:tc>
        <w:tc>
          <w:tcPr>
            <w:tcW w:type="dxa" w:w="5184"/>
            <w:vAlign w:val="center"/>
          </w:tcPr>
          <w:p>
            <w:pPr>
              <w:spacing w:after="0"/>
            </w:pPr>
            <w:r/>
            <w:r>
              <w:rPr>
                <w:rFonts w:ascii="Aptos" w:hAnsi="Aptos"/>
                <w:b w:val="0"/>
                <w:sz w:val="18"/>
              </w:rPr>
              <w:t>Total transaction value alone may favour larger customer segments and can obscure the contribution of smaller segments.</w:t>
            </w:r>
          </w:p>
        </w:tc>
      </w:tr>
      <w:tr>
        <w:trPr>
          <w:cantSplit/>
        </w:trPr>
        <w:tc>
          <w:tcPr>
            <w:tcW w:type="dxa" w:w="5184"/>
            <w:vAlign w:val="center"/>
            <w:shd w:fill="1F4E79"/>
          </w:tcPr>
          <w:p>
            <w:pPr>
              <w:spacing w:after="0"/>
            </w:pPr>
            <w:r/>
            <w:r>
              <w:rPr>
                <w:rFonts w:ascii="Aptos" w:hAnsi="Aptos"/>
                <w:b/>
                <w:color w:val="FFFFFF"/>
                <w:sz w:val="18"/>
              </w:rPr>
              <w:t>Recommended Action</w:t>
            </w:r>
          </w:p>
        </w:tc>
        <w:tc>
          <w:tcPr>
            <w:tcW w:type="dxa" w:w="5184"/>
            <w:vAlign w:val="center"/>
          </w:tcPr>
          <w:p>
            <w:pPr>
              <w:spacing w:after="0"/>
            </w:pPr>
            <w:r/>
            <w:r>
              <w:rPr>
                <w:rFonts w:ascii="Aptos" w:hAnsi="Aptos"/>
                <w:b w:val="0"/>
                <w:sz w:val="18"/>
              </w:rPr>
              <w:t>Evaluate customer segments using both total KPIs and normalized measures such as Transaction Value per Customer and Transactions per Customer.</w:t>
            </w:r>
          </w:p>
        </w:tc>
      </w:tr>
    </w:tbl>
    <w:p>
      <w:pPr>
        <w:spacing w:after="40"/>
      </w:pPr>
    </w:p>
    <w:p>
      <w:r>
        <w:br w:type="page"/>
      </w:r>
    </w:p>
    <w:p>
      <w:pPr>
        <w:pStyle w:val="Heading1"/>
        <w:keepNext/>
      </w:pPr>
      <w:r>
        <w:t>5. Higher digital engagement is associated more clearly with customer value than with transaction frequency</w:t>
      </w:r>
    </w:p>
    <w:tbl>
      <w:tblPr>
        <w:tblStyle w:val="TableGrid"/>
        <w:tblW w:type="auto" w:w="0"/>
        <w:jc w:val="center"/>
        <w:tblLook w:firstColumn="1" w:firstRow="1" w:lastColumn="0" w:lastRow="0" w:noHBand="0" w:noVBand="1" w:val="04A0"/>
      </w:tblPr>
      <w:tblGrid>
        <w:gridCol w:w="2088"/>
        <w:gridCol w:w="8568"/>
      </w:tblGrid>
      <w:tr>
        <w:trPr>
          <w:cantSplit/>
        </w:trPr>
        <w:tc>
          <w:tcPr>
            <w:tcW w:type="dxa" w:w="5184"/>
            <w:vAlign w:val="center"/>
            <w:shd w:fill="1F4E79"/>
          </w:tcPr>
          <w:p>
            <w:pPr>
              <w:spacing w:after="0"/>
            </w:pPr>
            <w:r/>
            <w:r>
              <w:rPr>
                <w:rFonts w:ascii="Aptos" w:hAnsi="Aptos"/>
                <w:b/>
                <w:color w:val="FFFFFF"/>
                <w:sz w:val="18"/>
              </w:rPr>
              <w:t>Finding</w:t>
            </w:r>
          </w:p>
        </w:tc>
        <w:tc>
          <w:tcPr>
            <w:tcW w:type="dxa" w:w="5184"/>
            <w:vAlign w:val="center"/>
          </w:tcPr>
          <w:p>
            <w:pPr>
              <w:spacing w:after="0"/>
            </w:pPr>
            <w:r/>
            <w:r>
              <w:rPr>
                <w:rFonts w:ascii="Aptos" w:hAnsi="Aptos"/>
                <w:b w:val="0"/>
                <w:sz w:val="18"/>
              </w:rPr>
              <w:t>High-engagement customers generated greater transaction value per customer, while differences in transaction frequency were relatively small.</w:t>
            </w:r>
          </w:p>
        </w:tc>
      </w:tr>
      <w:tr>
        <w:trPr>
          <w:cantSplit/>
        </w:trPr>
        <w:tc>
          <w:tcPr>
            <w:tcW w:type="dxa" w:w="5184"/>
            <w:vAlign w:val="center"/>
            <w:shd w:fill="1F4E79"/>
          </w:tcPr>
          <w:p>
            <w:pPr>
              <w:spacing w:after="0"/>
            </w:pPr>
            <w:r/>
            <w:r>
              <w:rPr>
                <w:rFonts w:ascii="Aptos" w:hAnsi="Aptos"/>
                <w:b/>
                <w:color w:val="FFFFFF"/>
                <w:sz w:val="18"/>
              </w:rPr>
              <w:t>Evidence</w:t>
            </w:r>
          </w:p>
        </w:tc>
        <w:tc>
          <w:tcPr>
            <w:tcW w:type="dxa" w:w="5184"/>
            <w:vAlign w:val="center"/>
          </w:tcPr>
          <w:p>
            <w:pPr>
              <w:spacing w:after="0"/>
            </w:pPr>
            <w:r/>
            <w:r>
              <w:rPr>
                <w:rFonts w:ascii="Aptos" w:hAnsi="Aptos"/>
                <w:b w:val="0"/>
                <w:sz w:val="18"/>
              </w:rPr>
              <w:t>Low Engagement averaged NGN 359,967.31 per customer and 7.97 transactions per customer; Medium Engagement averaged NGN 369,721.08 and 7.89; High Engagement averaged NGN 379,724.15 and 8.12.</w:t>
            </w:r>
          </w:p>
        </w:tc>
      </w:tr>
      <w:tr>
        <w:trPr>
          <w:cantSplit/>
        </w:trPr>
        <w:tc>
          <w:tcPr>
            <w:tcW w:type="dxa" w:w="5184"/>
            <w:vAlign w:val="center"/>
            <w:shd w:fill="1F4E79"/>
          </w:tcPr>
          <w:p>
            <w:pPr>
              <w:spacing w:after="0"/>
            </w:pPr>
            <w:r/>
            <w:r>
              <w:rPr>
                <w:rFonts w:ascii="Aptos" w:hAnsi="Aptos"/>
                <w:b/>
                <w:color w:val="FFFFFF"/>
                <w:sz w:val="18"/>
              </w:rPr>
              <w:t>Business Meaning</w:t>
            </w:r>
          </w:p>
        </w:tc>
        <w:tc>
          <w:tcPr>
            <w:tcW w:type="dxa" w:w="5184"/>
            <w:vAlign w:val="center"/>
          </w:tcPr>
          <w:p>
            <w:pPr>
              <w:spacing w:after="0"/>
            </w:pPr>
            <w:r/>
            <w:r>
              <w:rPr>
                <w:rFonts w:ascii="Aptos" w:hAnsi="Aptos"/>
                <w:b w:val="0"/>
                <w:sz w:val="18"/>
              </w:rPr>
              <w:t>Digital engagement appears more strongly associated with customer value than with transaction frequency. Engagement alone does not fully explain customer behaviour.</w:t>
            </w:r>
          </w:p>
        </w:tc>
      </w:tr>
      <w:tr>
        <w:trPr>
          <w:cantSplit/>
        </w:trPr>
        <w:tc>
          <w:tcPr>
            <w:tcW w:type="dxa" w:w="5184"/>
            <w:vAlign w:val="center"/>
            <w:shd w:fill="1F4E79"/>
          </w:tcPr>
          <w:p>
            <w:pPr>
              <w:spacing w:after="0"/>
            </w:pPr>
            <w:r/>
            <w:r>
              <w:rPr>
                <w:rFonts w:ascii="Aptos" w:hAnsi="Aptos"/>
                <w:b/>
                <w:color w:val="FFFFFF"/>
                <w:sz w:val="18"/>
              </w:rPr>
              <w:t>Recommended Action</w:t>
            </w:r>
          </w:p>
        </w:tc>
        <w:tc>
          <w:tcPr>
            <w:tcW w:type="dxa" w:w="5184"/>
            <w:vAlign w:val="center"/>
          </w:tcPr>
          <w:p>
            <w:pPr>
              <w:spacing w:after="0"/>
            </w:pPr>
            <w:r/>
            <w:r>
              <w:rPr>
                <w:rFonts w:ascii="Aptos" w:hAnsi="Aptos"/>
                <w:b w:val="0"/>
                <w:sz w:val="18"/>
              </w:rPr>
              <w:t>Use digital engagement together with customer segment, transaction frequency and transaction value when designing customer engagement and retention initiatives.</w:t>
            </w:r>
          </w:p>
        </w:tc>
      </w:tr>
    </w:tbl>
    <w:p>
      <w:pPr>
        <w:spacing w:after="40"/>
      </w:pPr>
    </w:p>
    <w:p>
      <w:pPr>
        <w:pStyle w:val="Heading1"/>
      </w:pPr>
      <w:r>
        <w:t>Responsible-Use Note</w:t>
      </w:r>
    </w:p>
    <w:p>
      <w:pPr>
        <w:spacing w:after="160"/>
      </w:pPr>
      <w:r>
        <w:rPr>
          <w:b/>
        </w:rPr>
        <w:t xml:space="preserve">Important: </w:t>
      </w:r>
      <w:r>
        <w:t>Risk_Review_Flag is a synthetic educational review indicator. It should not be interpreted as confirmed fraud, financial crime, or a production risk decision. FinTrust is a fictional organisation and the datasets used in this project are synthetic.</w:t>
      </w:r>
    </w:p>
    <w:p>
      <w:pPr>
        <w:pStyle w:val="Heading1"/>
      </w:pPr>
      <w:r>
        <w:t>Final Business Insights Summary</w:t>
      </w:r>
    </w:p>
    <w:p>
      <w:r>
        <w:t>The final FinTrust analysis identified meaningful differences in monthly performance, risk-review behaviour, transaction failures, customer segment performance and digital engagement. These findings were supported by SQL, Python and Power BI analysis and translate directly into management actions focused on performance monitoring, operational reliability, risk-review prioritization, customer segmentation and digital engagement.</w:t>
      </w:r>
    </w:p>
    <w:sectPr w:rsidR="00FC693F" w:rsidRPr="0006063C" w:rsidSect="00034616">
      <w:footerReference w:type="default" r:id="rId9"/>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FinTrust Digital Bank - Week 4 Part 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