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FinTrust Digital Bank</w:t>
      </w:r>
    </w:p>
    <w:p>
      <w:pPr>
        <w:pStyle w:val="Title"/>
        <w:jc w:val="center"/>
      </w:pPr>
      <w:r>
        <w:t>Week 4 – Part E: Final Validation</w:t>
      </w:r>
    </w:p>
    <w:p>
      <w:pPr>
        <w:jc w:val="center"/>
      </w:pPr>
      <w:r>
        <w:rPr>
          <w:i/>
          <w:sz w:val="20"/>
        </w:rPr>
        <w:t>Data Analytics Track</w:t>
      </w:r>
    </w:p>
    <w:p>
      <w:pPr>
        <w:pStyle w:val="Heading1"/>
      </w:pPr>
      <w:r>
        <w:t>1. Purpose</w:t>
      </w:r>
    </w:p>
    <w:p>
      <w:r>
        <w:t>Part E validates the most important analytical findings from the final FinTrust solution. Each finding is checked using an independent validation method and classified according to whether the evidence supports, revises or partially supports the original conclusion. The validation draws on SQL, Python and Power BI outputs produced during the project.</w:t>
      </w:r>
    </w:p>
    <w:p>
      <w:r>
        <w:rPr>
          <w:b/>
        </w:rPr>
        <w:t>Validation structure: Finding → Validation Method → Result → Conclusion</w:t>
      </w:r>
    </w:p>
    <w:p>
      <w:pPr>
        <w:pStyle w:val="Heading1"/>
      </w:pPr>
      <w:r>
        <w:t>2. Final Validation Results</w:t>
      </w:r>
    </w:p>
    <w:p>
      <w:pPr>
        <w:pStyle w:val="Heading2"/>
        <w:spacing w:before="80" w:after="60"/>
      </w:pPr>
      <w:r>
        <w:t>1. Monthly transaction performance</w:t>
      </w:r>
    </w:p>
    <w:tbl>
      <w:tblPr>
        <w:tblStyle w:val="TableGrid"/>
        <w:tblW w:type="auto" w:w="0"/>
        <w:jc w:val="center"/>
        <w:tblLook w:firstColumn="1" w:firstRow="1" w:lastColumn="0" w:lastRow="0" w:noHBand="0" w:noVBand="1" w:val="04A0"/>
      </w:tblPr>
      <w:tblGrid>
        <w:gridCol w:w="5141"/>
        <w:gridCol w:w="5141"/>
      </w:tblGrid>
      <w:tr>
        <w:trPr>
          <w:cantSplit/>
        </w:trPr>
        <w:tc>
          <w:tcPr>
            <w:tcW w:type="dxa" w:w="2088"/>
            <w:vAlign w:val="center"/>
            <w:shd w:fill="1F4E79"/>
          </w:tcPr>
          <w:p>
            <w:pPr>
              <w:spacing w:after="0"/>
            </w:pPr>
            <w:r/>
            <w:r>
              <w:rPr>
                <w:b/>
                <w:color w:val="FFFFFF"/>
                <w:sz w:val="18"/>
              </w:rPr>
              <w:t>Finding</w:t>
            </w:r>
          </w:p>
        </w:tc>
        <w:tc>
          <w:tcPr>
            <w:tcW w:type="dxa" w:w="8424"/>
            <w:vAlign w:val="center"/>
          </w:tcPr>
          <w:p>
            <w:pPr>
              <w:spacing w:after="0"/>
            </w:pPr>
            <w:r/>
            <w:r>
              <w:rPr>
                <w:b w:val="0"/>
                <w:sz w:val="18"/>
              </w:rPr>
              <w:t>Transaction activity declined in February 2026 and recovered strongly in March.</w:t>
            </w:r>
          </w:p>
        </w:tc>
      </w:tr>
      <w:tr>
        <w:trPr>
          <w:cantSplit/>
        </w:trPr>
        <w:tc>
          <w:tcPr>
            <w:tcW w:type="dxa" w:w="2088"/>
            <w:vAlign w:val="center"/>
            <w:shd w:fill="1F4E79"/>
          </w:tcPr>
          <w:p>
            <w:pPr>
              <w:spacing w:after="0"/>
            </w:pPr>
            <w:r/>
            <w:r>
              <w:rPr>
                <w:b/>
                <w:color w:val="FFFFFF"/>
                <w:sz w:val="18"/>
              </w:rPr>
              <w:t>Validation Method</w:t>
            </w:r>
          </w:p>
        </w:tc>
        <w:tc>
          <w:tcPr>
            <w:tcW w:type="dxa" w:w="8424"/>
            <w:vAlign w:val="center"/>
          </w:tcPr>
          <w:p>
            <w:pPr>
              <w:spacing w:after="0"/>
            </w:pPr>
            <w:r/>
            <w:r>
              <w:rPr>
                <w:b w:val="0"/>
                <w:sz w:val="18"/>
              </w:rPr>
              <w:t>Compared the final SQL monthly trend query with Python monthly aggregation and the Power BI monthly trend visual.</w:t>
            </w:r>
          </w:p>
        </w:tc>
      </w:tr>
      <w:tr>
        <w:trPr>
          <w:cantSplit/>
        </w:trPr>
        <w:tc>
          <w:tcPr>
            <w:tcW w:type="dxa" w:w="2088"/>
            <w:vAlign w:val="center"/>
            <w:shd w:fill="1F4E79"/>
          </w:tcPr>
          <w:p>
            <w:pPr>
              <w:spacing w:after="0"/>
            </w:pPr>
            <w:r/>
            <w:r>
              <w:rPr>
                <w:b/>
                <w:color w:val="FFFFFF"/>
                <w:sz w:val="18"/>
              </w:rPr>
              <w:t>Result</w:t>
            </w:r>
          </w:p>
        </w:tc>
        <w:tc>
          <w:tcPr>
            <w:tcW w:type="dxa" w:w="8424"/>
            <w:vAlign w:val="center"/>
          </w:tcPr>
          <w:p>
            <w:pPr>
              <w:spacing w:after="0"/>
            </w:pPr>
            <w:r/>
            <w:r>
              <w:rPr>
                <w:b w:val="0"/>
                <w:sz w:val="18"/>
              </w:rPr>
              <w:t>All three tools showed the same pattern: January 4,133 transactions / NGN 188.49M; February 3,734 / NGN 175.79M; March 4,133 / NGN 196.20M.</w:t>
            </w:r>
          </w:p>
        </w:tc>
      </w:tr>
      <w:tr>
        <w:trPr>
          <w:cantSplit/>
        </w:trPr>
        <w:tc>
          <w:tcPr>
            <w:tcW w:type="dxa" w:w="2088"/>
            <w:vAlign w:val="center"/>
            <w:shd w:fill="1F4E79"/>
          </w:tcPr>
          <w:p>
            <w:pPr>
              <w:spacing w:after="0"/>
            </w:pPr>
            <w:r/>
            <w:r>
              <w:rPr>
                <w:b/>
                <w:color w:val="FFFFFF"/>
                <w:sz w:val="18"/>
              </w:rPr>
              <w:t>Conclusion</w:t>
            </w:r>
          </w:p>
        </w:tc>
        <w:tc>
          <w:tcPr>
            <w:tcW w:type="dxa" w:w="8424"/>
            <w:vAlign w:val="center"/>
          </w:tcPr>
          <w:p>
            <w:pPr>
              <w:spacing w:after="0"/>
            </w:pPr>
            <w:r/>
            <w:r>
              <w:rPr>
                <w:b w:val="0"/>
                <w:sz w:val="18"/>
              </w:rPr>
              <w:t>Supported. The February decline and March recovery are consistent across SQL, Python and Power BI.</w:t>
            </w:r>
          </w:p>
        </w:tc>
      </w:tr>
    </w:tbl>
    <w:p>
      <w:pPr>
        <w:spacing w:after="0"/>
      </w:pPr>
    </w:p>
    <w:p>
      <w:pPr>
        <w:pStyle w:val="Heading2"/>
        <w:spacing w:before="80" w:after="60"/>
      </w:pPr>
      <w:r>
        <w:t>2. Risk review increases with transaction value</w:t>
      </w:r>
    </w:p>
    <w:tbl>
      <w:tblPr>
        <w:tblStyle w:val="TableGrid"/>
        <w:tblW w:type="auto" w:w="0"/>
        <w:jc w:val="center"/>
        <w:tblLook w:firstColumn="1" w:firstRow="1" w:lastColumn="0" w:lastRow="0" w:noHBand="0" w:noVBand="1" w:val="04A0"/>
      </w:tblPr>
      <w:tblGrid>
        <w:gridCol w:w="5141"/>
        <w:gridCol w:w="5141"/>
      </w:tblGrid>
      <w:tr>
        <w:trPr>
          <w:cantSplit/>
        </w:trPr>
        <w:tc>
          <w:tcPr>
            <w:tcW w:type="dxa" w:w="2088"/>
            <w:vAlign w:val="center"/>
            <w:shd w:fill="1F4E79"/>
          </w:tcPr>
          <w:p>
            <w:pPr>
              <w:spacing w:after="0"/>
            </w:pPr>
            <w:r/>
            <w:r>
              <w:rPr>
                <w:b/>
                <w:color w:val="FFFFFF"/>
                <w:sz w:val="18"/>
              </w:rPr>
              <w:t>Finding</w:t>
            </w:r>
          </w:p>
        </w:tc>
        <w:tc>
          <w:tcPr>
            <w:tcW w:type="dxa" w:w="8424"/>
            <w:vAlign w:val="center"/>
          </w:tcPr>
          <w:p>
            <w:pPr>
              <w:spacing w:after="0"/>
            </w:pPr>
            <w:r/>
            <w:r>
              <w:rPr>
                <w:b w:val="0"/>
                <w:sz w:val="18"/>
              </w:rPr>
              <w:t>Higher-value transactions are more likely to be selected for risk review.</w:t>
            </w:r>
          </w:p>
        </w:tc>
      </w:tr>
      <w:tr>
        <w:trPr>
          <w:cantSplit/>
        </w:trPr>
        <w:tc>
          <w:tcPr>
            <w:tcW w:type="dxa" w:w="2088"/>
            <w:vAlign w:val="center"/>
            <w:shd w:fill="1F4E79"/>
          </w:tcPr>
          <w:p>
            <w:pPr>
              <w:spacing w:after="0"/>
            </w:pPr>
            <w:r/>
            <w:r>
              <w:rPr>
                <w:b/>
                <w:color w:val="FFFFFF"/>
                <w:sz w:val="18"/>
              </w:rPr>
              <w:t>Validation Method</w:t>
            </w:r>
          </w:p>
        </w:tc>
        <w:tc>
          <w:tcPr>
            <w:tcW w:type="dxa" w:w="8424"/>
            <w:vAlign w:val="center"/>
          </w:tcPr>
          <w:p>
            <w:pPr>
              <w:spacing w:after="0"/>
            </w:pPr>
            <w:r/>
            <w:r>
              <w:rPr>
                <w:b w:val="0"/>
                <w:sz w:val="18"/>
              </w:rPr>
              <w:t>Compared SQL amount-band analysis, Python amount-band recalculation and the Power BI risk-review-by-amount-band visual.</w:t>
            </w:r>
          </w:p>
        </w:tc>
      </w:tr>
      <w:tr>
        <w:trPr>
          <w:cantSplit/>
        </w:trPr>
        <w:tc>
          <w:tcPr>
            <w:tcW w:type="dxa" w:w="2088"/>
            <w:vAlign w:val="center"/>
            <w:shd w:fill="1F4E79"/>
          </w:tcPr>
          <w:p>
            <w:pPr>
              <w:spacing w:after="0"/>
            </w:pPr>
            <w:r/>
            <w:r>
              <w:rPr>
                <w:b/>
                <w:color w:val="FFFFFF"/>
                <w:sz w:val="18"/>
              </w:rPr>
              <w:t>Result</w:t>
            </w:r>
          </w:p>
        </w:tc>
        <w:tc>
          <w:tcPr>
            <w:tcW w:type="dxa" w:w="8424"/>
            <w:vAlign w:val="center"/>
          </w:tcPr>
          <w:p>
            <w:pPr>
              <w:spacing w:after="0"/>
            </w:pPr>
            <w:r/>
            <w:r>
              <w:rPr>
                <w:b w:val="0"/>
                <w:sz w:val="18"/>
              </w:rPr>
              <w:t>The tools matched across all amount bands. The risk-review rate rose from 17.66% below NGN 10K to 40.54% for NGN 200K and above.</w:t>
            </w:r>
          </w:p>
        </w:tc>
      </w:tr>
      <w:tr>
        <w:trPr>
          <w:cantSplit/>
        </w:trPr>
        <w:tc>
          <w:tcPr>
            <w:tcW w:type="dxa" w:w="2088"/>
            <w:vAlign w:val="center"/>
            <w:shd w:fill="1F4E79"/>
          </w:tcPr>
          <w:p>
            <w:pPr>
              <w:spacing w:after="0"/>
            </w:pPr>
            <w:r/>
            <w:r>
              <w:rPr>
                <w:b/>
                <w:color w:val="FFFFFF"/>
                <w:sz w:val="18"/>
              </w:rPr>
              <w:t>Conclusion</w:t>
            </w:r>
          </w:p>
        </w:tc>
        <w:tc>
          <w:tcPr>
            <w:tcW w:type="dxa" w:w="8424"/>
            <w:vAlign w:val="center"/>
          </w:tcPr>
          <w:p>
            <w:pPr>
              <w:spacing w:after="0"/>
            </w:pPr>
            <w:r/>
            <w:r>
              <w:rPr>
                <w:b w:val="0"/>
                <w:sz w:val="18"/>
              </w:rPr>
              <w:t>Supported. Transaction value is strongly associated with risk-review selection, especially above NGN 200K.</w:t>
            </w:r>
          </w:p>
        </w:tc>
      </w:tr>
    </w:tbl>
    <w:p>
      <w:pPr>
        <w:spacing w:after="0"/>
      </w:pPr>
    </w:p>
    <w:p>
      <w:r>
        <w:br w:type="page"/>
      </w:r>
    </w:p>
    <w:p>
      <w:pPr>
        <w:pStyle w:val="Heading2"/>
        <w:spacing w:before="80" w:after="60"/>
      </w:pPr>
      <w:r>
        <w:t>3. Failure hotspots vary by channel and transaction type</w:t>
      </w:r>
    </w:p>
    <w:tbl>
      <w:tblPr>
        <w:tblStyle w:val="TableGrid"/>
        <w:tblW w:type="auto" w:w="0"/>
        <w:jc w:val="center"/>
        <w:tblLook w:firstColumn="1" w:firstRow="1" w:lastColumn="0" w:lastRow="0" w:noHBand="0" w:noVBand="1" w:val="04A0"/>
      </w:tblPr>
      <w:tblGrid>
        <w:gridCol w:w="5141"/>
        <w:gridCol w:w="5141"/>
      </w:tblGrid>
      <w:tr>
        <w:trPr>
          <w:cantSplit/>
        </w:trPr>
        <w:tc>
          <w:tcPr>
            <w:tcW w:type="dxa" w:w="2088"/>
            <w:vAlign w:val="center"/>
            <w:shd w:fill="1F4E79"/>
          </w:tcPr>
          <w:p>
            <w:pPr>
              <w:spacing w:after="0"/>
            </w:pPr>
            <w:r/>
            <w:r>
              <w:rPr>
                <w:b/>
                <w:color w:val="FFFFFF"/>
                <w:sz w:val="18"/>
              </w:rPr>
              <w:t>Finding</w:t>
            </w:r>
          </w:p>
        </w:tc>
        <w:tc>
          <w:tcPr>
            <w:tcW w:type="dxa" w:w="8424"/>
            <w:vAlign w:val="center"/>
          </w:tcPr>
          <w:p>
            <w:pPr>
              <w:spacing w:after="0"/>
            </w:pPr>
            <w:r/>
            <w:r>
              <w:rPr>
                <w:b w:val="0"/>
                <w:sz w:val="18"/>
              </w:rPr>
              <w:t>Transaction failures are concentrated in specific Channel × Transaction Type combinations.</w:t>
            </w:r>
          </w:p>
        </w:tc>
      </w:tr>
      <w:tr>
        <w:trPr>
          <w:cantSplit/>
        </w:trPr>
        <w:tc>
          <w:tcPr>
            <w:tcW w:type="dxa" w:w="2088"/>
            <w:vAlign w:val="center"/>
            <w:shd w:fill="1F4E79"/>
          </w:tcPr>
          <w:p>
            <w:pPr>
              <w:spacing w:after="0"/>
            </w:pPr>
            <w:r/>
            <w:r>
              <w:rPr>
                <w:b/>
                <w:color w:val="FFFFFF"/>
                <w:sz w:val="18"/>
              </w:rPr>
              <w:t>Validation Method</w:t>
            </w:r>
          </w:p>
        </w:tc>
        <w:tc>
          <w:tcPr>
            <w:tcW w:type="dxa" w:w="8424"/>
            <w:vAlign w:val="center"/>
          </w:tcPr>
          <w:p>
            <w:pPr>
              <w:spacing w:after="0"/>
            </w:pPr>
            <w:r/>
            <w:r>
              <w:rPr>
                <w:b w:val="0"/>
                <w:sz w:val="18"/>
              </w:rPr>
              <w:t>Compared the SQL failure-rate query with the Python heatmap and the Power BI failure-rate matrix.</w:t>
            </w:r>
          </w:p>
        </w:tc>
      </w:tr>
      <w:tr>
        <w:trPr>
          <w:cantSplit/>
        </w:trPr>
        <w:tc>
          <w:tcPr>
            <w:tcW w:type="dxa" w:w="2088"/>
            <w:vAlign w:val="center"/>
            <w:shd w:fill="1F4E79"/>
          </w:tcPr>
          <w:p>
            <w:pPr>
              <w:spacing w:after="0"/>
            </w:pPr>
            <w:r/>
            <w:r>
              <w:rPr>
                <w:b/>
                <w:color w:val="FFFFFF"/>
                <w:sz w:val="18"/>
              </w:rPr>
              <w:t>Result</w:t>
            </w:r>
          </w:p>
        </w:tc>
        <w:tc>
          <w:tcPr>
            <w:tcW w:type="dxa" w:w="8424"/>
            <w:vAlign w:val="center"/>
          </w:tcPr>
          <w:p>
            <w:pPr>
              <w:spacing w:after="0"/>
            </w:pPr>
            <w:r/>
            <w:r>
              <w:rPr>
                <w:b w:val="0"/>
                <w:sz w:val="18"/>
              </w:rPr>
              <w:t>POS + Bill Payment remained the highest observed failure-rate combination at 7.22%, followed by USSD + Transfer at 7.20%.</w:t>
            </w:r>
          </w:p>
        </w:tc>
      </w:tr>
      <w:tr>
        <w:trPr>
          <w:cantSplit/>
        </w:trPr>
        <w:tc>
          <w:tcPr>
            <w:tcW w:type="dxa" w:w="2088"/>
            <w:vAlign w:val="center"/>
            <w:shd w:fill="1F4E79"/>
          </w:tcPr>
          <w:p>
            <w:pPr>
              <w:spacing w:after="0"/>
            </w:pPr>
            <w:r/>
            <w:r>
              <w:rPr>
                <w:b/>
                <w:color w:val="FFFFFF"/>
                <w:sz w:val="18"/>
              </w:rPr>
              <w:t>Conclusion</w:t>
            </w:r>
          </w:p>
        </w:tc>
        <w:tc>
          <w:tcPr>
            <w:tcW w:type="dxa" w:w="8424"/>
            <w:vAlign w:val="center"/>
          </w:tcPr>
          <w:p>
            <w:pPr>
              <w:spacing w:after="0"/>
            </w:pPr>
            <w:r/>
            <w:r>
              <w:rPr>
                <w:b w:val="0"/>
                <w:sz w:val="18"/>
              </w:rPr>
              <w:t>Supported. Failure analysis should be performed at the combined channel and transaction-type level rather than only overall.</w:t>
            </w:r>
          </w:p>
        </w:tc>
      </w:tr>
    </w:tbl>
    <w:p>
      <w:pPr>
        <w:spacing w:after="0"/>
      </w:pPr>
    </w:p>
    <w:p>
      <w:pPr>
        <w:pStyle w:val="Heading2"/>
        <w:spacing w:before="80" w:after="60"/>
      </w:pPr>
      <w:r>
        <w:t>4. Segment totals can hide per-customer performance</w:t>
      </w:r>
    </w:p>
    <w:tbl>
      <w:tblPr>
        <w:tblStyle w:val="TableGrid"/>
        <w:tblW w:type="auto" w:w="0"/>
        <w:jc w:val="center"/>
        <w:tblLook w:firstColumn="1" w:firstRow="1" w:lastColumn="0" w:lastRow="0" w:noHBand="0" w:noVBand="1" w:val="04A0"/>
      </w:tblPr>
      <w:tblGrid>
        <w:gridCol w:w="5141"/>
        <w:gridCol w:w="5141"/>
      </w:tblGrid>
      <w:tr>
        <w:trPr>
          <w:cantSplit/>
        </w:trPr>
        <w:tc>
          <w:tcPr>
            <w:tcW w:type="dxa" w:w="2088"/>
            <w:vAlign w:val="center"/>
            <w:shd w:fill="1F4E79"/>
          </w:tcPr>
          <w:p>
            <w:pPr>
              <w:spacing w:after="0"/>
            </w:pPr>
            <w:r/>
            <w:r>
              <w:rPr>
                <w:b/>
                <w:color w:val="FFFFFF"/>
                <w:sz w:val="18"/>
              </w:rPr>
              <w:t>Finding</w:t>
            </w:r>
          </w:p>
        </w:tc>
        <w:tc>
          <w:tcPr>
            <w:tcW w:type="dxa" w:w="8424"/>
            <w:vAlign w:val="center"/>
          </w:tcPr>
          <w:p>
            <w:pPr>
              <w:spacing w:after="0"/>
            </w:pPr>
            <w:r/>
            <w:r>
              <w:rPr>
                <w:b w:val="0"/>
                <w:sz w:val="18"/>
              </w:rPr>
              <w:t>Overall segment totals do not fully describe customer-level performance.</w:t>
            </w:r>
          </w:p>
        </w:tc>
      </w:tr>
      <w:tr>
        <w:trPr>
          <w:cantSplit/>
        </w:trPr>
        <w:tc>
          <w:tcPr>
            <w:tcW w:type="dxa" w:w="2088"/>
            <w:vAlign w:val="center"/>
            <w:shd w:fill="1F4E79"/>
          </w:tcPr>
          <w:p>
            <w:pPr>
              <w:spacing w:after="0"/>
            </w:pPr>
            <w:r/>
            <w:r>
              <w:rPr>
                <w:b/>
                <w:color w:val="FFFFFF"/>
                <w:sz w:val="18"/>
              </w:rPr>
              <w:t>Validation Method</w:t>
            </w:r>
          </w:p>
        </w:tc>
        <w:tc>
          <w:tcPr>
            <w:tcW w:type="dxa" w:w="8424"/>
            <w:vAlign w:val="center"/>
          </w:tcPr>
          <w:p>
            <w:pPr>
              <w:spacing w:after="0"/>
            </w:pPr>
            <w:r/>
            <w:r>
              <w:rPr>
                <w:b w:val="0"/>
                <w:sz w:val="18"/>
              </w:rPr>
              <w:t>Compared the normalized SQL segment analysis with Power BI measures for transaction value per customer and transactions per customer.</w:t>
            </w:r>
          </w:p>
        </w:tc>
      </w:tr>
      <w:tr>
        <w:trPr>
          <w:cantSplit/>
        </w:trPr>
        <w:tc>
          <w:tcPr>
            <w:tcW w:type="dxa" w:w="2088"/>
            <w:vAlign w:val="center"/>
            <w:shd w:fill="1F4E79"/>
          </w:tcPr>
          <w:p>
            <w:pPr>
              <w:spacing w:after="0"/>
            </w:pPr>
            <w:r/>
            <w:r>
              <w:rPr>
                <w:b/>
                <w:color w:val="FFFFFF"/>
                <w:sz w:val="18"/>
              </w:rPr>
              <w:t>Result</w:t>
            </w:r>
          </w:p>
        </w:tc>
        <w:tc>
          <w:tcPr>
            <w:tcW w:type="dxa" w:w="8424"/>
            <w:vAlign w:val="center"/>
          </w:tcPr>
          <w:p>
            <w:pPr>
              <w:spacing w:after="0"/>
            </w:pPr>
            <w:r/>
            <w:r>
              <w:rPr>
                <w:b w:val="0"/>
                <w:sz w:val="18"/>
              </w:rPr>
              <w:t>SME customers generated the highest transaction value per customer (NGN 387,923.02), while Student customers recorded the highest transaction frequency (8.23 transactions per customer).</w:t>
            </w:r>
          </w:p>
        </w:tc>
      </w:tr>
      <w:tr>
        <w:trPr>
          <w:cantSplit/>
        </w:trPr>
        <w:tc>
          <w:tcPr>
            <w:tcW w:type="dxa" w:w="2088"/>
            <w:vAlign w:val="center"/>
            <w:shd w:fill="1F4E79"/>
          </w:tcPr>
          <w:p>
            <w:pPr>
              <w:spacing w:after="0"/>
            </w:pPr>
            <w:r/>
            <w:r>
              <w:rPr>
                <w:b/>
                <w:color w:val="FFFFFF"/>
                <w:sz w:val="18"/>
              </w:rPr>
              <w:t>Conclusion</w:t>
            </w:r>
          </w:p>
        </w:tc>
        <w:tc>
          <w:tcPr>
            <w:tcW w:type="dxa" w:w="8424"/>
            <w:vAlign w:val="center"/>
          </w:tcPr>
          <w:p>
            <w:pPr>
              <w:spacing w:after="0"/>
            </w:pPr>
            <w:r/>
            <w:r>
              <w:rPr>
                <w:b w:val="0"/>
                <w:sz w:val="18"/>
              </w:rPr>
              <w:t>Supported. Normalized KPIs reveal differences that are hidden when only total segment activity is considered.</w:t>
            </w:r>
          </w:p>
        </w:tc>
      </w:tr>
    </w:tbl>
    <w:p>
      <w:pPr>
        <w:spacing w:after="0"/>
      </w:pPr>
    </w:p>
    <w:p>
      <w:pPr>
        <w:pStyle w:val="Heading2"/>
        <w:spacing w:before="80" w:after="60"/>
      </w:pPr>
      <w:r>
        <w:t>5. Digital engagement relates more clearly to value than frequency</w:t>
      </w:r>
    </w:p>
    <w:tbl>
      <w:tblPr>
        <w:tblStyle w:val="TableGrid"/>
        <w:tblW w:type="auto" w:w="0"/>
        <w:jc w:val="center"/>
        <w:tblLook w:firstColumn="1" w:firstRow="1" w:lastColumn="0" w:lastRow="0" w:noHBand="0" w:noVBand="1" w:val="04A0"/>
      </w:tblPr>
      <w:tblGrid>
        <w:gridCol w:w="5141"/>
        <w:gridCol w:w="5141"/>
      </w:tblGrid>
      <w:tr>
        <w:trPr>
          <w:cantSplit/>
        </w:trPr>
        <w:tc>
          <w:tcPr>
            <w:tcW w:type="dxa" w:w="2088"/>
            <w:vAlign w:val="center"/>
            <w:shd w:fill="1F4E79"/>
          </w:tcPr>
          <w:p>
            <w:pPr>
              <w:spacing w:after="0"/>
            </w:pPr>
            <w:r/>
            <w:r>
              <w:rPr>
                <w:b/>
                <w:color w:val="FFFFFF"/>
                <w:sz w:val="18"/>
              </w:rPr>
              <w:t>Finding</w:t>
            </w:r>
          </w:p>
        </w:tc>
        <w:tc>
          <w:tcPr>
            <w:tcW w:type="dxa" w:w="8424"/>
            <w:vAlign w:val="center"/>
          </w:tcPr>
          <w:p>
            <w:pPr>
              <w:spacing w:after="0"/>
            </w:pPr>
            <w:r/>
            <w:r>
              <w:rPr>
                <w:b w:val="0"/>
                <w:sz w:val="18"/>
              </w:rPr>
              <w:t>Higher digital engagement is associated with greater customer value, while transaction-frequency differences are smaller.</w:t>
            </w:r>
          </w:p>
        </w:tc>
      </w:tr>
      <w:tr>
        <w:trPr>
          <w:cantSplit/>
        </w:trPr>
        <w:tc>
          <w:tcPr>
            <w:tcW w:type="dxa" w:w="2088"/>
            <w:vAlign w:val="center"/>
            <w:shd w:fill="1F4E79"/>
          </w:tcPr>
          <w:p>
            <w:pPr>
              <w:spacing w:after="0"/>
            </w:pPr>
            <w:r/>
            <w:r>
              <w:rPr>
                <w:b/>
                <w:color w:val="FFFFFF"/>
                <w:sz w:val="18"/>
              </w:rPr>
              <w:t>Validation Method</w:t>
            </w:r>
          </w:p>
        </w:tc>
        <w:tc>
          <w:tcPr>
            <w:tcW w:type="dxa" w:w="8424"/>
            <w:vAlign w:val="center"/>
          </w:tcPr>
          <w:p>
            <w:pPr>
              <w:spacing w:after="0"/>
            </w:pPr>
            <w:r/>
            <w:r>
              <w:rPr>
                <w:b w:val="0"/>
                <w:sz w:val="18"/>
              </w:rPr>
              <w:t>Compared SQL, Python and Power BI engagement analyses using the same engagement bands.</w:t>
            </w:r>
          </w:p>
        </w:tc>
      </w:tr>
      <w:tr>
        <w:trPr>
          <w:cantSplit/>
        </w:trPr>
        <w:tc>
          <w:tcPr>
            <w:tcW w:type="dxa" w:w="2088"/>
            <w:vAlign w:val="center"/>
            <w:shd w:fill="1F4E79"/>
          </w:tcPr>
          <w:p>
            <w:pPr>
              <w:spacing w:after="0"/>
            </w:pPr>
            <w:r/>
            <w:r>
              <w:rPr>
                <w:b/>
                <w:color w:val="FFFFFF"/>
                <w:sz w:val="18"/>
              </w:rPr>
              <w:t>Result</w:t>
            </w:r>
          </w:p>
        </w:tc>
        <w:tc>
          <w:tcPr>
            <w:tcW w:type="dxa" w:w="8424"/>
            <w:vAlign w:val="center"/>
          </w:tcPr>
          <w:p>
            <w:pPr>
              <w:spacing w:after="0"/>
            </w:pPr>
            <w:r/>
            <w:r>
              <w:rPr>
                <w:b w:val="0"/>
                <w:sz w:val="18"/>
              </w:rPr>
              <w:t>High-engagement customers had the highest average transaction value per customer (NGN 379,724.15) and the highest frequency (8.12), but Medium engagement (7.89) was slightly below Low engagement (7.97).</w:t>
            </w:r>
          </w:p>
        </w:tc>
      </w:tr>
      <w:tr>
        <w:trPr>
          <w:cantSplit/>
        </w:trPr>
        <w:tc>
          <w:tcPr>
            <w:tcW w:type="dxa" w:w="2088"/>
            <w:vAlign w:val="center"/>
            <w:shd w:fill="1F4E79"/>
          </w:tcPr>
          <w:p>
            <w:pPr>
              <w:spacing w:after="0"/>
            </w:pPr>
            <w:r/>
            <w:r>
              <w:rPr>
                <w:b/>
                <w:color w:val="FFFFFF"/>
                <w:sz w:val="18"/>
              </w:rPr>
              <w:t>Conclusion</w:t>
            </w:r>
          </w:p>
        </w:tc>
        <w:tc>
          <w:tcPr>
            <w:tcW w:type="dxa" w:w="8424"/>
            <w:vAlign w:val="center"/>
          </w:tcPr>
          <w:p>
            <w:pPr>
              <w:spacing w:after="0"/>
            </w:pPr>
            <w:r/>
            <w:r>
              <w:rPr>
                <w:b w:val="0"/>
                <w:sz w:val="18"/>
              </w:rPr>
              <w:t>Revised / Partially Supported. The value relationship is consistent, but transaction frequency does not increase perfectly across all engagement levels.</w:t>
            </w:r>
          </w:p>
        </w:tc>
      </w:tr>
    </w:tbl>
    <w:p>
      <w:pPr>
        <w:spacing w:after="0"/>
      </w:pPr>
    </w:p>
    <w:p>
      <w:pPr>
        <w:pStyle w:val="Heading1"/>
      </w:pPr>
      <w:r>
        <w:t>3. Findings Changed After Validation</w:t>
      </w:r>
    </w:p>
    <w:p>
      <w:r>
        <w:t>Four of the five major findings were fully supported by the final validation process. The digital-engagement finding was refined after validation. While high-engagement customers generated the highest average transaction value per customer, transaction frequency did not increase consistently from Low to Medium to High engagement. The final interpretation therefore treats digital engagement as a useful customer-value indicator rather than a complete explanation of transaction activity.</w:t>
      </w:r>
    </w:p>
    <w:p>
      <w:pPr>
        <w:pStyle w:val="Heading1"/>
      </w:pPr>
      <w:r>
        <w:t>4. Responsible Interpretation</w:t>
      </w:r>
    </w:p>
    <w:p>
      <w:r>
        <w:t>FinTrust is a fictional organisation and the datasets used in this project are synthetic. The Risk_Review_Flag is an educational review indicator and must not be interpreted as confirmed fraud or financial crime. The validation results demonstrate analytical consistency within the project data; they do not establish production banking rules or causal relationships.</w:t>
      </w:r>
    </w:p>
    <w:p>
      <w:pPr>
        <w:pStyle w:val="Heading1"/>
      </w:pPr>
      <w:r>
        <w:t>5. Final Validation Summary</w:t>
      </w:r>
    </w:p>
    <w:p>
      <w:r>
        <w:t>The final validation confirmed strong consistency across the key FinTrust analytical findings. Monthly performance, transaction failure patterns, risk-review behaviour and normalized segment performance were reproduced across the relevant analytical tools. The digital-engagement finding was refined to avoid overstating the relationship with transaction frequency. Overall, the validation process supports the reliability of the final business insights and demonstrates that the conclusions presented in the final dashboard and documentation are evidence-based.</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FinTrust Digital Bank – Week 4 Final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