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FinTrust Digital Bank – Week 3 KPI Analysis</w:t>
      </w:r>
    </w:p>
    <w:p>
      <w:pPr>
        <w:jc w:val="center"/>
      </w:pPr>
      <w:r>
        <w:rPr>
          <w:b/>
          <w:color w:val="595959"/>
          <w:sz w:val="22"/>
        </w:rPr>
        <w:t>Data Analytics Track | Develop &amp; Integrate</w:t>
      </w:r>
    </w:p>
    <w:p>
      <w:pPr>
        <w:jc w:val="center"/>
      </w:pPr>
      <w:r>
        <w:rPr>
          <w:b/>
          <w:color w:val="1F4E78"/>
        </w:rPr>
        <w:t>Purpose</w:t>
      </w:r>
    </w:p>
    <w:p>
      <w:r>
        <w:t>This KPI analysis documents the key performance indicators used to evaluate FinTrust customer activity, transaction performance and risk-review behaviour in Week 3. It extends the Week 2 summary KPIs by adding normalized, trend-based and operational measures that support more decision-oriented analysis. All results are based on the synthetic FinTrust training dataset.</w:t>
      </w:r>
    </w:p>
    <w:p>
      <w:pPr>
        <w:pStyle w:val="Heading1"/>
      </w:pPr>
      <w:r>
        <w:t>1. Core KPI Summary</w:t>
      </w:r>
    </w:p>
    <w:tbl>
      <w:tblPr>
        <w:tblW w:type="auto" w:w="0"/>
        <w:jc w:val="center"/>
        <w:tblLayout w:type="autofit"/>
        <w:tblLook w:firstColumn="1" w:firstRow="1" w:lastColumn="0" w:lastRow="0" w:noHBand="0" w:noVBand="1" w:val="04A0"/>
        <w:tblBorders>
          <w:top w:val="single" w:sz="5" w:space="0" w:color="B7C9DB"/>
          <w:start w:val="single" w:sz="5" w:space="0" w:color="B7C9DB"/>
          <w:bottom w:val="single" w:sz="5" w:space="0" w:color="B7C9DB"/>
          <w:end w:val="single" w:sz="5" w:space="0" w:color="B7C9DB"/>
          <w:insideH w:val="single" w:sz="5" w:space="0" w:color="B7C9DB"/>
          <w:insideV w:val="single" w:sz="5" w:space="0" w:color="B7C9DB"/>
        </w:tblBorders>
      </w:tblPr>
      <w:tblGrid>
        <w:gridCol w:w="2520"/>
        <w:gridCol w:w="2520"/>
        <w:gridCol w:w="2520"/>
        <w:gridCol w:w="2520"/>
      </w:tblGrid>
      <w:tr>
        <w:trPr>
          <w:tblHeader w:val="true"/>
        </w:trPr>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KPI</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Week 3 Value</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Definition</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Business Interpretation</w:t>
            </w:r>
          </w:p>
        </w:tc>
      </w:tr>
      <w:tr>
        <w:tc>
          <w:tcPr>
            <w:tcW w:type="dxa" w:w="2520"/>
            <w:vAlign w:val="center"/>
            <w:tcMar>
              <w:top w:w="80" w:type="dxa"/>
              <w:start w:w="80" w:type="dxa"/>
              <w:bottom w:w="80" w:type="dxa"/>
              <w:end w:w="80" w:type="dxa"/>
            </w:tcMar>
          </w:tcPr>
          <w:p>
            <w:pPr>
              <w:spacing w:after="0" w:before="0"/>
            </w:pPr>
            <w:r>
              <w:rPr>
                <w:rFonts w:ascii="Aptos" w:hAnsi="Aptos"/>
                <w:sz w:val="18"/>
              </w:rPr>
              <w:t>Total Customers</w:t>
            </w:r>
          </w:p>
        </w:tc>
        <w:tc>
          <w:tcPr>
            <w:tcW w:type="dxa" w:w="2520"/>
            <w:vAlign w:val="center"/>
            <w:tcMar>
              <w:top w:w="80" w:type="dxa"/>
              <w:start w:w="80" w:type="dxa"/>
              <w:bottom w:w="80" w:type="dxa"/>
              <w:end w:w="80" w:type="dxa"/>
            </w:tcMar>
          </w:tcPr>
          <w:p>
            <w:pPr>
              <w:spacing w:after="0" w:before="0"/>
            </w:pPr>
            <w:r>
              <w:rPr>
                <w:rFonts w:ascii="Aptos" w:hAnsi="Aptos"/>
                <w:sz w:val="18"/>
              </w:rPr>
              <w:t>1,500</w:t>
            </w:r>
          </w:p>
        </w:tc>
        <w:tc>
          <w:tcPr>
            <w:tcW w:type="dxa" w:w="2520"/>
            <w:vAlign w:val="center"/>
            <w:tcMar>
              <w:top w:w="80" w:type="dxa"/>
              <w:start w:w="80" w:type="dxa"/>
              <w:bottom w:w="80" w:type="dxa"/>
              <w:end w:w="80" w:type="dxa"/>
            </w:tcMar>
          </w:tcPr>
          <w:p>
            <w:pPr>
              <w:spacing w:after="0" w:before="0"/>
            </w:pPr>
            <w:r>
              <w:rPr>
                <w:rFonts w:ascii="Aptos" w:hAnsi="Aptos"/>
                <w:sz w:val="18"/>
              </w:rPr>
              <w:t>Distinct customers represented in the cleaned customer dataset.</w:t>
            </w:r>
          </w:p>
        </w:tc>
        <w:tc>
          <w:tcPr>
            <w:tcW w:type="dxa" w:w="2520"/>
            <w:vAlign w:val="center"/>
            <w:tcMar>
              <w:top w:w="80" w:type="dxa"/>
              <w:start w:w="80" w:type="dxa"/>
              <w:bottom w:w="80" w:type="dxa"/>
              <w:end w:w="80" w:type="dxa"/>
            </w:tcMar>
          </w:tcPr>
          <w:p>
            <w:pPr>
              <w:spacing w:after="0" w:before="0"/>
            </w:pPr>
            <w:r>
              <w:rPr>
                <w:rFonts w:ascii="Aptos" w:hAnsi="Aptos"/>
                <w:sz w:val="18"/>
              </w:rPr>
              <w:t>Establishes the size of the customer base used throughout the analysis.</w:t>
            </w:r>
          </w:p>
        </w:tc>
      </w:tr>
      <w:tr>
        <w:tc>
          <w:tcPr>
            <w:tcW w:type="dxa" w:w="2520"/>
            <w:vAlign w:val="center"/>
            <w:tcMar>
              <w:top w:w="80" w:type="dxa"/>
              <w:start w:w="80" w:type="dxa"/>
              <w:bottom w:w="80" w:type="dxa"/>
              <w:end w:w="80" w:type="dxa"/>
            </w:tcMar>
          </w:tcPr>
          <w:p>
            <w:pPr>
              <w:spacing w:after="0" w:before="0"/>
            </w:pPr>
            <w:r>
              <w:rPr>
                <w:rFonts w:ascii="Aptos" w:hAnsi="Aptos"/>
                <w:sz w:val="18"/>
              </w:rPr>
              <w:t>Total Transactions</w:t>
            </w:r>
          </w:p>
        </w:tc>
        <w:tc>
          <w:tcPr>
            <w:tcW w:type="dxa" w:w="2520"/>
            <w:vAlign w:val="center"/>
            <w:tcMar>
              <w:top w:w="80" w:type="dxa"/>
              <w:start w:w="80" w:type="dxa"/>
              <w:bottom w:w="80" w:type="dxa"/>
              <w:end w:w="80" w:type="dxa"/>
            </w:tcMar>
          </w:tcPr>
          <w:p>
            <w:pPr>
              <w:spacing w:after="0" w:before="0"/>
            </w:pPr>
            <w:r>
              <w:rPr>
                <w:rFonts w:ascii="Aptos" w:hAnsi="Aptos"/>
                <w:sz w:val="18"/>
              </w:rPr>
              <w:t>12,000</w:t>
            </w:r>
          </w:p>
        </w:tc>
        <w:tc>
          <w:tcPr>
            <w:tcW w:type="dxa" w:w="2520"/>
            <w:vAlign w:val="center"/>
            <w:tcMar>
              <w:top w:w="80" w:type="dxa"/>
              <w:start w:w="80" w:type="dxa"/>
              <w:bottom w:w="80" w:type="dxa"/>
              <w:end w:w="80" w:type="dxa"/>
            </w:tcMar>
          </w:tcPr>
          <w:p>
            <w:pPr>
              <w:spacing w:after="0" w:before="0"/>
            </w:pPr>
            <w:r>
              <w:rPr>
                <w:rFonts w:ascii="Aptos" w:hAnsi="Aptos"/>
                <w:sz w:val="18"/>
              </w:rPr>
              <w:t>Distinct transactions recorded from January to March 2026.</w:t>
            </w:r>
          </w:p>
        </w:tc>
        <w:tc>
          <w:tcPr>
            <w:tcW w:type="dxa" w:w="2520"/>
            <w:vAlign w:val="center"/>
            <w:tcMar>
              <w:top w:w="80" w:type="dxa"/>
              <w:start w:w="80" w:type="dxa"/>
              <w:bottom w:w="80" w:type="dxa"/>
              <w:end w:w="80" w:type="dxa"/>
            </w:tcMar>
          </w:tcPr>
          <w:p>
            <w:pPr>
              <w:spacing w:after="0" w:before="0"/>
            </w:pPr>
            <w:r>
              <w:rPr>
                <w:rFonts w:ascii="Aptos" w:hAnsi="Aptos"/>
                <w:sz w:val="18"/>
              </w:rPr>
              <w:t>Provides the overall transaction activity base for all rate and trend calculations.</w:t>
            </w:r>
          </w:p>
        </w:tc>
      </w:tr>
      <w:tr>
        <w:tc>
          <w:tcPr>
            <w:tcW w:type="dxa" w:w="2520"/>
            <w:vAlign w:val="center"/>
            <w:tcMar>
              <w:top w:w="80" w:type="dxa"/>
              <w:start w:w="80" w:type="dxa"/>
              <w:bottom w:w="80" w:type="dxa"/>
              <w:end w:w="80" w:type="dxa"/>
            </w:tcMar>
          </w:tcPr>
          <w:p>
            <w:pPr>
              <w:spacing w:after="0" w:before="0"/>
            </w:pPr>
            <w:r>
              <w:rPr>
                <w:rFonts w:ascii="Aptos" w:hAnsi="Aptos"/>
                <w:sz w:val="18"/>
              </w:rPr>
              <w:t>Total Transaction Value</w:t>
            </w:r>
          </w:p>
        </w:tc>
        <w:tc>
          <w:tcPr>
            <w:tcW w:type="dxa" w:w="2520"/>
            <w:vAlign w:val="center"/>
            <w:tcMar>
              <w:top w:w="80" w:type="dxa"/>
              <w:start w:w="80" w:type="dxa"/>
              <w:bottom w:w="80" w:type="dxa"/>
              <w:end w:w="80" w:type="dxa"/>
            </w:tcMar>
          </w:tcPr>
          <w:p>
            <w:pPr>
              <w:spacing w:after="0" w:before="0"/>
            </w:pPr>
            <w:r>
              <w:rPr>
                <w:rFonts w:ascii="Aptos" w:hAnsi="Aptos"/>
                <w:sz w:val="18"/>
              </w:rPr>
              <w:t>NGN 560.48M</w:t>
            </w:r>
          </w:p>
        </w:tc>
        <w:tc>
          <w:tcPr>
            <w:tcW w:type="dxa" w:w="2520"/>
            <w:vAlign w:val="center"/>
            <w:tcMar>
              <w:top w:w="80" w:type="dxa"/>
              <w:start w:w="80" w:type="dxa"/>
              <w:bottom w:w="80" w:type="dxa"/>
              <w:end w:w="80" w:type="dxa"/>
            </w:tcMar>
          </w:tcPr>
          <w:p>
            <w:pPr>
              <w:spacing w:after="0" w:before="0"/>
            </w:pPr>
            <w:r>
              <w:rPr>
                <w:rFonts w:ascii="Aptos" w:hAnsi="Aptos"/>
                <w:sz w:val="18"/>
              </w:rPr>
              <w:t>Sum of transaction amounts across the three-month period.</w:t>
            </w:r>
          </w:p>
        </w:tc>
        <w:tc>
          <w:tcPr>
            <w:tcW w:type="dxa" w:w="2520"/>
            <w:vAlign w:val="center"/>
            <w:tcMar>
              <w:top w:w="80" w:type="dxa"/>
              <w:start w:w="80" w:type="dxa"/>
              <w:bottom w:w="80" w:type="dxa"/>
              <w:end w:w="80" w:type="dxa"/>
            </w:tcMar>
          </w:tcPr>
          <w:p>
            <w:pPr>
              <w:spacing w:after="0" w:before="0"/>
            </w:pPr>
            <w:r>
              <w:rPr>
                <w:rFonts w:ascii="Aptos" w:hAnsi="Aptos"/>
                <w:sz w:val="18"/>
              </w:rPr>
              <w:t>Shows the total monetary value processed in the analysis period.</w:t>
            </w:r>
          </w:p>
        </w:tc>
      </w:tr>
      <w:tr>
        <w:tc>
          <w:tcPr>
            <w:tcW w:type="dxa" w:w="2520"/>
            <w:vAlign w:val="center"/>
            <w:tcMar>
              <w:top w:w="80" w:type="dxa"/>
              <w:start w:w="80" w:type="dxa"/>
              <w:bottom w:w="80" w:type="dxa"/>
              <w:end w:w="80" w:type="dxa"/>
            </w:tcMar>
          </w:tcPr>
          <w:p>
            <w:pPr>
              <w:spacing w:after="0" w:before="0"/>
            </w:pPr>
            <w:r>
              <w:rPr>
                <w:rFonts w:ascii="Aptos" w:hAnsi="Aptos"/>
                <w:sz w:val="18"/>
              </w:rPr>
              <w:t>Average Transaction Value</w:t>
            </w:r>
          </w:p>
        </w:tc>
        <w:tc>
          <w:tcPr>
            <w:tcW w:type="dxa" w:w="2520"/>
            <w:vAlign w:val="center"/>
            <w:tcMar>
              <w:top w:w="80" w:type="dxa"/>
              <w:start w:w="80" w:type="dxa"/>
              <w:bottom w:w="80" w:type="dxa"/>
              <w:end w:w="80" w:type="dxa"/>
            </w:tcMar>
          </w:tcPr>
          <w:p>
            <w:pPr>
              <w:spacing w:after="0" w:before="0"/>
            </w:pPr>
            <w:r>
              <w:rPr>
                <w:rFonts w:ascii="Aptos" w:hAnsi="Aptos"/>
                <w:sz w:val="18"/>
              </w:rPr>
              <w:t>NGN 46,706.45</w:t>
            </w:r>
          </w:p>
        </w:tc>
        <w:tc>
          <w:tcPr>
            <w:tcW w:type="dxa" w:w="2520"/>
            <w:vAlign w:val="center"/>
            <w:tcMar>
              <w:top w:w="80" w:type="dxa"/>
              <w:start w:w="80" w:type="dxa"/>
              <w:bottom w:w="80" w:type="dxa"/>
              <w:end w:w="80" w:type="dxa"/>
            </w:tcMar>
          </w:tcPr>
          <w:p>
            <w:pPr>
              <w:spacing w:after="0" w:before="0"/>
            </w:pPr>
            <w:r>
              <w:rPr>
                <w:rFonts w:ascii="Aptos" w:hAnsi="Aptos"/>
                <w:sz w:val="18"/>
              </w:rPr>
              <w:t>Total transaction value divided by total transactions.</w:t>
            </w:r>
          </w:p>
        </w:tc>
        <w:tc>
          <w:tcPr>
            <w:tcW w:type="dxa" w:w="2520"/>
            <w:vAlign w:val="center"/>
            <w:tcMar>
              <w:top w:w="80" w:type="dxa"/>
              <w:start w:w="80" w:type="dxa"/>
              <w:bottom w:w="80" w:type="dxa"/>
              <w:end w:w="80" w:type="dxa"/>
            </w:tcMar>
          </w:tcPr>
          <w:p>
            <w:pPr>
              <w:spacing w:after="0" w:before="0"/>
            </w:pPr>
            <w:r>
              <w:rPr>
                <w:rFonts w:ascii="Aptos" w:hAnsi="Aptos"/>
                <w:sz w:val="18"/>
              </w:rPr>
              <w:t>Provides the typical transaction value at portfolio level.</w:t>
            </w:r>
          </w:p>
        </w:tc>
      </w:tr>
      <w:tr>
        <w:tc>
          <w:tcPr>
            <w:tcW w:type="dxa" w:w="2520"/>
            <w:vAlign w:val="center"/>
            <w:tcMar>
              <w:top w:w="80" w:type="dxa"/>
              <w:start w:w="80" w:type="dxa"/>
              <w:bottom w:w="80" w:type="dxa"/>
              <w:end w:w="80" w:type="dxa"/>
            </w:tcMar>
          </w:tcPr>
          <w:p>
            <w:pPr>
              <w:spacing w:after="0" w:before="0"/>
            </w:pPr>
            <w:r>
              <w:rPr>
                <w:rFonts w:ascii="Aptos" w:hAnsi="Aptos"/>
                <w:sz w:val="18"/>
              </w:rPr>
              <w:t>Transaction Success Rate</w:t>
            </w:r>
          </w:p>
        </w:tc>
        <w:tc>
          <w:tcPr>
            <w:tcW w:type="dxa" w:w="2520"/>
            <w:vAlign w:val="center"/>
            <w:tcMar>
              <w:top w:w="80" w:type="dxa"/>
              <w:start w:w="80" w:type="dxa"/>
              <w:bottom w:w="80" w:type="dxa"/>
              <w:end w:w="80" w:type="dxa"/>
            </w:tcMar>
          </w:tcPr>
          <w:p>
            <w:pPr>
              <w:spacing w:after="0" w:before="0"/>
            </w:pPr>
            <w:r>
              <w:rPr>
                <w:rFonts w:ascii="Aptos" w:hAnsi="Aptos"/>
                <w:sz w:val="18"/>
              </w:rPr>
              <w:t>90.47%</w:t>
            </w:r>
          </w:p>
        </w:tc>
        <w:tc>
          <w:tcPr>
            <w:tcW w:type="dxa" w:w="2520"/>
            <w:vAlign w:val="center"/>
            <w:tcMar>
              <w:top w:w="80" w:type="dxa"/>
              <w:start w:w="80" w:type="dxa"/>
              <w:bottom w:w="80" w:type="dxa"/>
              <w:end w:w="80" w:type="dxa"/>
            </w:tcMar>
          </w:tcPr>
          <w:p>
            <w:pPr>
              <w:spacing w:after="0" w:before="0"/>
            </w:pPr>
            <w:r>
              <w:rPr>
                <w:rFonts w:ascii="Aptos" w:hAnsi="Aptos"/>
                <w:sz w:val="18"/>
              </w:rPr>
              <w:t>Share of transactions with Successful status.</w:t>
            </w:r>
          </w:p>
        </w:tc>
        <w:tc>
          <w:tcPr>
            <w:tcW w:type="dxa" w:w="2520"/>
            <w:vAlign w:val="center"/>
            <w:tcMar>
              <w:top w:w="80" w:type="dxa"/>
              <w:start w:w="80" w:type="dxa"/>
              <w:bottom w:w="80" w:type="dxa"/>
              <w:end w:w="80" w:type="dxa"/>
            </w:tcMar>
          </w:tcPr>
          <w:p>
            <w:pPr>
              <w:spacing w:after="0" w:before="0"/>
            </w:pPr>
            <w:r>
              <w:rPr>
                <w:rFonts w:ascii="Aptos" w:hAnsi="Aptos"/>
                <w:sz w:val="18"/>
              </w:rPr>
              <w:t>Indicates that most transactions were completed successfully, while failures, reversals and pending transactions form the remaining share.</w:t>
            </w:r>
          </w:p>
        </w:tc>
      </w:tr>
      <w:tr>
        <w:tc>
          <w:tcPr>
            <w:tcW w:type="dxa" w:w="2520"/>
            <w:vAlign w:val="center"/>
            <w:tcMar>
              <w:top w:w="80" w:type="dxa"/>
              <w:start w:w="80" w:type="dxa"/>
              <w:bottom w:w="80" w:type="dxa"/>
              <w:end w:w="80" w:type="dxa"/>
            </w:tcMar>
          </w:tcPr>
          <w:p>
            <w:pPr>
              <w:spacing w:after="0" w:before="0"/>
            </w:pPr>
            <w:r>
              <w:rPr>
                <w:rFonts w:ascii="Aptos" w:hAnsi="Aptos"/>
                <w:sz w:val="18"/>
              </w:rPr>
              <w:t>Risk Review Rate</w:t>
            </w:r>
          </w:p>
        </w:tc>
        <w:tc>
          <w:tcPr>
            <w:tcW w:type="dxa" w:w="2520"/>
            <w:vAlign w:val="center"/>
            <w:tcMar>
              <w:top w:w="80" w:type="dxa"/>
              <w:start w:w="80" w:type="dxa"/>
              <w:bottom w:w="80" w:type="dxa"/>
              <w:end w:w="80" w:type="dxa"/>
            </w:tcMar>
          </w:tcPr>
          <w:p>
            <w:pPr>
              <w:spacing w:after="0" w:before="0"/>
            </w:pPr>
            <w:r>
              <w:rPr>
                <w:rFonts w:ascii="Aptos" w:hAnsi="Aptos"/>
                <w:sz w:val="18"/>
              </w:rPr>
              <w:t>19.60%</w:t>
            </w:r>
          </w:p>
        </w:tc>
        <w:tc>
          <w:tcPr>
            <w:tcW w:type="dxa" w:w="2520"/>
            <w:vAlign w:val="center"/>
            <w:tcMar>
              <w:top w:w="80" w:type="dxa"/>
              <w:start w:w="80" w:type="dxa"/>
              <w:bottom w:w="80" w:type="dxa"/>
              <w:end w:w="80" w:type="dxa"/>
            </w:tcMar>
          </w:tcPr>
          <w:p>
            <w:pPr>
              <w:spacing w:after="0" w:before="0"/>
            </w:pPr>
            <w:r>
              <w:rPr>
                <w:rFonts w:ascii="Aptos" w:hAnsi="Aptos"/>
                <w:sz w:val="18"/>
              </w:rPr>
              <w:t>Share of transactions marked Risk_Review_Flag = Yes.</w:t>
            </w:r>
          </w:p>
        </w:tc>
        <w:tc>
          <w:tcPr>
            <w:tcW w:type="dxa" w:w="2520"/>
            <w:vAlign w:val="center"/>
            <w:tcMar>
              <w:top w:w="80" w:type="dxa"/>
              <w:start w:w="80" w:type="dxa"/>
              <w:bottom w:w="80" w:type="dxa"/>
              <w:end w:w="80" w:type="dxa"/>
            </w:tcMar>
          </w:tcPr>
          <w:p>
            <w:pPr>
              <w:spacing w:after="0" w:before="0"/>
            </w:pPr>
            <w:r>
              <w:rPr>
                <w:rFonts w:ascii="Aptos" w:hAnsi="Aptos"/>
                <w:sz w:val="18"/>
              </w:rPr>
              <w:t>Measures review-selection frequency. The flag is a synthetic review indicator and is not evidence of confirmed fraud.</w:t>
            </w:r>
          </w:p>
        </w:tc>
      </w:tr>
    </w:tbl>
    <w:p>
      <w:r>
        <w:rPr>
          <w:b/>
        </w:rPr>
        <w:t xml:space="preserve">Overall KPI interpretation. </w:t>
      </w:r>
      <w:r>
        <w:t>The portfolio shows high transaction completion, with a 90.47% success rate, while approximately one in five transactions is selected for risk review. The NGN 560.48M total transaction value and NGN 46.7K average transaction value provide the baseline against which the deeper Week 3 segment, trend and risk metrics were evaluated.</w:t>
      </w:r>
    </w:p>
    <w:p>
      <w:pPr>
        <w:pStyle w:val="Heading1"/>
      </w:pPr>
      <w:r>
        <w:t>2. Trend KPIs</w:t>
      </w:r>
    </w:p>
    <w:tbl>
      <w:tblPr>
        <w:tblW w:type="auto" w:w="0"/>
        <w:jc w:val="center"/>
        <w:tblLayout w:type="autofit"/>
        <w:tblLook w:firstColumn="1" w:firstRow="1" w:lastColumn="0" w:lastRow="0" w:noHBand="0" w:noVBand="1" w:val="04A0"/>
        <w:tblBorders>
          <w:top w:val="single" w:sz="5" w:space="0" w:color="B7C9DB"/>
          <w:start w:val="single" w:sz="5" w:space="0" w:color="B7C9DB"/>
          <w:bottom w:val="single" w:sz="5" w:space="0" w:color="B7C9DB"/>
          <w:end w:val="single" w:sz="5" w:space="0" w:color="B7C9DB"/>
          <w:insideH w:val="single" w:sz="5" w:space="0" w:color="B7C9DB"/>
          <w:insideV w:val="single" w:sz="5" w:space="0" w:color="B7C9DB"/>
        </w:tblBorders>
      </w:tblPr>
      <w:tblGrid>
        <w:gridCol w:w="2520"/>
        <w:gridCol w:w="2520"/>
        <w:gridCol w:w="2520"/>
        <w:gridCol w:w="2520"/>
      </w:tblGrid>
      <w:tr>
        <w:trPr>
          <w:tblHeader w:val="true"/>
        </w:trPr>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Month</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Transactions</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Transaction Value</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Month-over-Month Interpretation</w:t>
            </w:r>
          </w:p>
        </w:tc>
      </w:tr>
      <w:tr>
        <w:tc>
          <w:tcPr>
            <w:tcW w:type="dxa" w:w="2520"/>
            <w:vAlign w:val="center"/>
            <w:tcMar>
              <w:top w:w="80" w:type="dxa"/>
              <w:start w:w="80" w:type="dxa"/>
              <w:bottom w:w="80" w:type="dxa"/>
              <w:end w:w="80" w:type="dxa"/>
            </w:tcMar>
          </w:tcPr>
          <w:p>
            <w:pPr>
              <w:spacing w:after="0" w:before="0"/>
            </w:pPr>
            <w:r>
              <w:rPr>
                <w:rFonts w:ascii="Aptos" w:hAnsi="Aptos"/>
                <w:sz w:val="18"/>
              </w:rPr>
              <w:t>January 2026</w:t>
            </w:r>
          </w:p>
        </w:tc>
        <w:tc>
          <w:tcPr>
            <w:tcW w:type="dxa" w:w="2520"/>
            <w:vAlign w:val="center"/>
            <w:tcMar>
              <w:top w:w="80" w:type="dxa"/>
              <w:start w:w="80" w:type="dxa"/>
              <w:bottom w:w="80" w:type="dxa"/>
              <w:end w:w="80" w:type="dxa"/>
            </w:tcMar>
          </w:tcPr>
          <w:p>
            <w:pPr>
              <w:spacing w:after="0" w:before="0"/>
            </w:pPr>
            <w:r>
              <w:rPr>
                <w:rFonts w:ascii="Aptos" w:hAnsi="Aptos"/>
                <w:sz w:val="18"/>
              </w:rPr>
              <w:t>4,133</w:t>
            </w:r>
          </w:p>
        </w:tc>
        <w:tc>
          <w:tcPr>
            <w:tcW w:type="dxa" w:w="2520"/>
            <w:vAlign w:val="center"/>
            <w:tcMar>
              <w:top w:w="80" w:type="dxa"/>
              <w:start w:w="80" w:type="dxa"/>
              <w:bottom w:w="80" w:type="dxa"/>
              <w:end w:w="80" w:type="dxa"/>
            </w:tcMar>
          </w:tcPr>
          <w:p>
            <w:pPr>
              <w:spacing w:after="0" w:before="0"/>
            </w:pPr>
            <w:r>
              <w:rPr>
                <w:rFonts w:ascii="Aptos" w:hAnsi="Aptos"/>
                <w:sz w:val="18"/>
              </w:rPr>
              <w:t>NGN 188.49M</w:t>
            </w:r>
          </w:p>
        </w:tc>
        <w:tc>
          <w:tcPr>
            <w:tcW w:type="dxa" w:w="2520"/>
            <w:vAlign w:val="center"/>
            <w:tcMar>
              <w:top w:w="80" w:type="dxa"/>
              <w:start w:w="80" w:type="dxa"/>
              <w:bottom w:w="80" w:type="dxa"/>
              <w:end w:w="80" w:type="dxa"/>
            </w:tcMar>
          </w:tcPr>
          <w:p>
            <w:pPr>
              <w:spacing w:after="0" w:before="0"/>
            </w:pPr>
            <w:r>
              <w:rPr>
                <w:rFonts w:ascii="Aptos" w:hAnsi="Aptos"/>
                <w:sz w:val="18"/>
              </w:rPr>
              <w:t>Baseline month</w:t>
            </w:r>
          </w:p>
        </w:tc>
      </w:tr>
      <w:tr>
        <w:tc>
          <w:tcPr>
            <w:tcW w:type="dxa" w:w="2520"/>
            <w:vAlign w:val="center"/>
            <w:tcMar>
              <w:top w:w="80" w:type="dxa"/>
              <w:start w:w="80" w:type="dxa"/>
              <w:bottom w:w="80" w:type="dxa"/>
              <w:end w:w="80" w:type="dxa"/>
            </w:tcMar>
          </w:tcPr>
          <w:p>
            <w:pPr>
              <w:spacing w:after="0" w:before="0"/>
            </w:pPr>
            <w:r>
              <w:rPr>
                <w:rFonts w:ascii="Aptos" w:hAnsi="Aptos"/>
                <w:sz w:val="18"/>
              </w:rPr>
              <w:t>February 2026</w:t>
            </w:r>
          </w:p>
        </w:tc>
        <w:tc>
          <w:tcPr>
            <w:tcW w:type="dxa" w:w="2520"/>
            <w:vAlign w:val="center"/>
            <w:tcMar>
              <w:top w:w="80" w:type="dxa"/>
              <w:start w:w="80" w:type="dxa"/>
              <w:bottom w:w="80" w:type="dxa"/>
              <w:end w:w="80" w:type="dxa"/>
            </w:tcMar>
          </w:tcPr>
          <w:p>
            <w:pPr>
              <w:spacing w:after="0" w:before="0"/>
            </w:pPr>
            <w:r>
              <w:rPr>
                <w:rFonts w:ascii="Aptos" w:hAnsi="Aptos"/>
                <w:sz w:val="18"/>
              </w:rPr>
              <w:t>3,734</w:t>
            </w:r>
          </w:p>
        </w:tc>
        <w:tc>
          <w:tcPr>
            <w:tcW w:type="dxa" w:w="2520"/>
            <w:vAlign w:val="center"/>
            <w:tcMar>
              <w:top w:w="80" w:type="dxa"/>
              <w:start w:w="80" w:type="dxa"/>
              <w:bottom w:w="80" w:type="dxa"/>
              <w:end w:w="80" w:type="dxa"/>
            </w:tcMar>
          </w:tcPr>
          <w:p>
            <w:pPr>
              <w:spacing w:after="0" w:before="0"/>
            </w:pPr>
            <w:r>
              <w:rPr>
                <w:rFonts w:ascii="Aptos" w:hAnsi="Aptos"/>
                <w:sz w:val="18"/>
              </w:rPr>
              <w:t>NGN 175.79M</w:t>
            </w:r>
          </w:p>
        </w:tc>
        <w:tc>
          <w:tcPr>
            <w:tcW w:type="dxa" w:w="2520"/>
            <w:vAlign w:val="center"/>
            <w:tcMar>
              <w:top w:w="80" w:type="dxa"/>
              <w:start w:w="80" w:type="dxa"/>
              <w:bottom w:w="80" w:type="dxa"/>
              <w:end w:w="80" w:type="dxa"/>
            </w:tcMar>
          </w:tcPr>
          <w:p>
            <w:pPr>
              <w:spacing w:after="0" w:before="0"/>
            </w:pPr>
            <w:r>
              <w:rPr>
                <w:rFonts w:ascii="Aptos" w:hAnsi="Aptos"/>
                <w:sz w:val="18"/>
              </w:rPr>
              <w:t>Volume -9.65%; value -6.74% vs January</w:t>
            </w:r>
          </w:p>
        </w:tc>
      </w:tr>
      <w:tr>
        <w:tc>
          <w:tcPr>
            <w:tcW w:type="dxa" w:w="2520"/>
            <w:vAlign w:val="center"/>
            <w:tcMar>
              <w:top w:w="80" w:type="dxa"/>
              <w:start w:w="80" w:type="dxa"/>
              <w:bottom w:w="80" w:type="dxa"/>
              <w:end w:w="80" w:type="dxa"/>
            </w:tcMar>
          </w:tcPr>
          <w:p>
            <w:pPr>
              <w:spacing w:after="0" w:before="0"/>
            </w:pPr>
            <w:r>
              <w:rPr>
                <w:rFonts w:ascii="Aptos" w:hAnsi="Aptos"/>
                <w:sz w:val="18"/>
              </w:rPr>
              <w:t>March 2026</w:t>
            </w:r>
          </w:p>
        </w:tc>
        <w:tc>
          <w:tcPr>
            <w:tcW w:type="dxa" w:w="2520"/>
            <w:vAlign w:val="center"/>
            <w:tcMar>
              <w:top w:w="80" w:type="dxa"/>
              <w:start w:w="80" w:type="dxa"/>
              <w:bottom w:w="80" w:type="dxa"/>
              <w:end w:w="80" w:type="dxa"/>
            </w:tcMar>
          </w:tcPr>
          <w:p>
            <w:pPr>
              <w:spacing w:after="0" w:before="0"/>
            </w:pPr>
            <w:r>
              <w:rPr>
                <w:rFonts w:ascii="Aptos" w:hAnsi="Aptos"/>
                <w:sz w:val="18"/>
              </w:rPr>
              <w:t>4,133</w:t>
            </w:r>
          </w:p>
        </w:tc>
        <w:tc>
          <w:tcPr>
            <w:tcW w:type="dxa" w:w="2520"/>
            <w:vAlign w:val="center"/>
            <w:tcMar>
              <w:top w:w="80" w:type="dxa"/>
              <w:start w:w="80" w:type="dxa"/>
              <w:bottom w:w="80" w:type="dxa"/>
              <w:end w:w="80" w:type="dxa"/>
            </w:tcMar>
          </w:tcPr>
          <w:p>
            <w:pPr>
              <w:spacing w:after="0" w:before="0"/>
            </w:pPr>
            <w:r>
              <w:rPr>
                <w:rFonts w:ascii="Aptos" w:hAnsi="Aptos"/>
                <w:sz w:val="18"/>
              </w:rPr>
              <w:t>NGN 196.20M</w:t>
            </w:r>
          </w:p>
        </w:tc>
        <w:tc>
          <w:tcPr>
            <w:tcW w:type="dxa" w:w="2520"/>
            <w:vAlign w:val="center"/>
            <w:tcMar>
              <w:top w:w="80" w:type="dxa"/>
              <w:start w:w="80" w:type="dxa"/>
              <w:bottom w:w="80" w:type="dxa"/>
              <w:end w:w="80" w:type="dxa"/>
            </w:tcMar>
          </w:tcPr>
          <w:p>
            <w:pPr>
              <w:spacing w:after="0" w:before="0"/>
            </w:pPr>
            <w:r>
              <w:rPr>
                <w:rFonts w:ascii="Aptos" w:hAnsi="Aptos"/>
                <w:sz w:val="18"/>
              </w:rPr>
              <w:t>Volume +10.69%; value +11.61% vs February</w:t>
            </w:r>
          </w:p>
        </w:tc>
      </w:tr>
    </w:tbl>
    <w:p>
      <w:r>
        <w:t>The monthly KPIs show a clear February slowdown followed by a strong March recovery. March returned to the same transaction count as January but generated a higher transaction value, indicating stronger value performance after the February decline.</w:t>
      </w:r>
    </w:p>
    <w:p>
      <w:pPr>
        <w:pStyle w:val="Heading1"/>
      </w:pPr>
      <w:r>
        <w:t>3. Customer and Segment KPIs</w:t>
      </w:r>
    </w:p>
    <w:tbl>
      <w:tblPr>
        <w:tblW w:type="auto" w:w="0"/>
        <w:jc w:val="center"/>
        <w:tblLayout w:type="autofit"/>
        <w:tblLook w:firstColumn="1" w:firstRow="1" w:lastColumn="0" w:lastRow="0" w:noHBand="0" w:noVBand="1" w:val="04A0"/>
        <w:tblBorders>
          <w:top w:val="single" w:sz="5" w:space="0" w:color="B7C9DB"/>
          <w:start w:val="single" w:sz="5" w:space="0" w:color="B7C9DB"/>
          <w:bottom w:val="single" w:sz="5" w:space="0" w:color="B7C9DB"/>
          <w:end w:val="single" w:sz="5" w:space="0" w:color="B7C9DB"/>
          <w:insideH w:val="single" w:sz="5" w:space="0" w:color="B7C9DB"/>
          <w:insideV w:val="single" w:sz="5" w:space="0" w:color="B7C9DB"/>
        </w:tblBorders>
      </w:tblPr>
      <w:tblGrid>
        <w:gridCol w:w="2520"/>
        <w:gridCol w:w="2520"/>
        <w:gridCol w:w="2520"/>
        <w:gridCol w:w="2520"/>
      </w:tblGrid>
      <w:tr>
        <w:trPr>
          <w:tblHeader w:val="true"/>
        </w:trPr>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Customer Segment</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Customers</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Transactions per Customer</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Transaction Value per Customer</w:t>
            </w:r>
          </w:p>
        </w:tc>
      </w:tr>
      <w:tr>
        <w:tc>
          <w:tcPr>
            <w:tcW w:type="dxa" w:w="2520"/>
            <w:vAlign w:val="center"/>
            <w:tcMar>
              <w:top w:w="80" w:type="dxa"/>
              <w:start w:w="80" w:type="dxa"/>
              <w:bottom w:w="80" w:type="dxa"/>
              <w:end w:w="80" w:type="dxa"/>
            </w:tcMar>
          </w:tcPr>
          <w:p>
            <w:pPr>
              <w:spacing w:after="0" w:before="0"/>
            </w:pPr>
            <w:r>
              <w:rPr>
                <w:rFonts w:ascii="Aptos" w:hAnsi="Aptos"/>
                <w:sz w:val="18"/>
              </w:rPr>
              <w:t>SME</w:t>
            </w:r>
          </w:p>
        </w:tc>
        <w:tc>
          <w:tcPr>
            <w:tcW w:type="dxa" w:w="2520"/>
            <w:vAlign w:val="center"/>
            <w:tcMar>
              <w:top w:w="80" w:type="dxa"/>
              <w:start w:w="80" w:type="dxa"/>
              <w:bottom w:w="80" w:type="dxa"/>
              <w:end w:w="80" w:type="dxa"/>
            </w:tcMar>
          </w:tcPr>
          <w:p>
            <w:pPr>
              <w:spacing w:after="0" w:before="0"/>
            </w:pPr>
            <w:r>
              <w:rPr>
                <w:rFonts w:ascii="Aptos" w:hAnsi="Aptos"/>
                <w:sz w:val="18"/>
              </w:rPr>
              <w:t>216</w:t>
            </w:r>
          </w:p>
        </w:tc>
        <w:tc>
          <w:tcPr>
            <w:tcW w:type="dxa" w:w="2520"/>
            <w:vAlign w:val="center"/>
            <w:tcMar>
              <w:top w:w="80" w:type="dxa"/>
              <w:start w:w="80" w:type="dxa"/>
              <w:bottom w:w="80" w:type="dxa"/>
              <w:end w:w="80" w:type="dxa"/>
            </w:tcMar>
          </w:tcPr>
          <w:p>
            <w:pPr>
              <w:spacing w:after="0" w:before="0"/>
            </w:pPr>
            <w:r>
              <w:rPr>
                <w:rFonts w:ascii="Aptos" w:hAnsi="Aptos"/>
                <w:sz w:val="18"/>
              </w:rPr>
              <w:t>7.90</w:t>
            </w:r>
          </w:p>
        </w:tc>
        <w:tc>
          <w:tcPr>
            <w:tcW w:type="dxa" w:w="2520"/>
            <w:vAlign w:val="center"/>
            <w:tcMar>
              <w:top w:w="80" w:type="dxa"/>
              <w:start w:w="80" w:type="dxa"/>
              <w:bottom w:w="80" w:type="dxa"/>
              <w:end w:w="80" w:type="dxa"/>
            </w:tcMar>
          </w:tcPr>
          <w:p>
            <w:pPr>
              <w:spacing w:after="0" w:before="0"/>
            </w:pPr>
            <w:r>
              <w:rPr>
                <w:rFonts w:ascii="Aptos" w:hAnsi="Aptos"/>
                <w:sz w:val="18"/>
              </w:rPr>
              <w:t>NGN 387,923.02</w:t>
            </w:r>
          </w:p>
        </w:tc>
      </w:tr>
      <w:tr>
        <w:tc>
          <w:tcPr>
            <w:tcW w:type="dxa" w:w="2520"/>
            <w:vAlign w:val="center"/>
            <w:tcMar>
              <w:top w:w="80" w:type="dxa"/>
              <w:start w:w="80" w:type="dxa"/>
              <w:bottom w:w="80" w:type="dxa"/>
              <w:end w:w="80" w:type="dxa"/>
            </w:tcMar>
          </w:tcPr>
          <w:p>
            <w:pPr>
              <w:spacing w:after="0" w:before="0"/>
            </w:pPr>
            <w:r>
              <w:rPr>
                <w:rFonts w:ascii="Aptos" w:hAnsi="Aptos"/>
                <w:sz w:val="18"/>
              </w:rPr>
              <w:t>Student</w:t>
            </w:r>
          </w:p>
        </w:tc>
        <w:tc>
          <w:tcPr>
            <w:tcW w:type="dxa" w:w="2520"/>
            <w:vAlign w:val="center"/>
            <w:tcMar>
              <w:top w:w="80" w:type="dxa"/>
              <w:start w:w="80" w:type="dxa"/>
              <w:bottom w:w="80" w:type="dxa"/>
              <w:end w:w="80" w:type="dxa"/>
            </w:tcMar>
          </w:tcPr>
          <w:p>
            <w:pPr>
              <w:spacing w:after="0" w:before="0"/>
            </w:pPr>
            <w:r>
              <w:rPr>
                <w:rFonts w:ascii="Aptos" w:hAnsi="Aptos"/>
                <w:sz w:val="18"/>
              </w:rPr>
              <w:t>278</w:t>
            </w:r>
          </w:p>
        </w:tc>
        <w:tc>
          <w:tcPr>
            <w:tcW w:type="dxa" w:w="2520"/>
            <w:vAlign w:val="center"/>
            <w:tcMar>
              <w:top w:w="80" w:type="dxa"/>
              <w:start w:w="80" w:type="dxa"/>
              <w:bottom w:w="80" w:type="dxa"/>
              <w:end w:w="80" w:type="dxa"/>
            </w:tcMar>
          </w:tcPr>
          <w:p>
            <w:pPr>
              <w:spacing w:after="0" w:before="0"/>
            </w:pPr>
            <w:r>
              <w:rPr>
                <w:rFonts w:ascii="Aptos" w:hAnsi="Aptos"/>
                <w:sz w:val="18"/>
              </w:rPr>
              <w:t>8.23</w:t>
            </w:r>
          </w:p>
        </w:tc>
        <w:tc>
          <w:tcPr>
            <w:tcW w:type="dxa" w:w="2520"/>
            <w:vAlign w:val="center"/>
            <w:tcMar>
              <w:top w:w="80" w:type="dxa"/>
              <w:start w:w="80" w:type="dxa"/>
              <w:bottom w:w="80" w:type="dxa"/>
              <w:end w:w="80" w:type="dxa"/>
            </w:tcMar>
          </w:tcPr>
          <w:p>
            <w:pPr>
              <w:spacing w:after="0" w:before="0"/>
            </w:pPr>
            <w:r>
              <w:rPr>
                <w:rFonts w:ascii="Aptos" w:hAnsi="Aptos"/>
                <w:sz w:val="18"/>
              </w:rPr>
              <w:t>NGN 386,603.84</w:t>
            </w:r>
          </w:p>
        </w:tc>
      </w:tr>
      <w:tr>
        <w:tc>
          <w:tcPr>
            <w:tcW w:type="dxa" w:w="2520"/>
            <w:vAlign w:val="center"/>
            <w:tcMar>
              <w:top w:w="80" w:type="dxa"/>
              <w:start w:w="80" w:type="dxa"/>
              <w:bottom w:w="80" w:type="dxa"/>
              <w:end w:w="80" w:type="dxa"/>
            </w:tcMar>
          </w:tcPr>
          <w:p>
            <w:pPr>
              <w:spacing w:after="0" w:before="0"/>
            </w:pPr>
            <w:r>
              <w:rPr>
                <w:rFonts w:ascii="Aptos" w:hAnsi="Aptos"/>
                <w:sz w:val="18"/>
              </w:rPr>
              <w:t>Everyday</w:t>
            </w:r>
          </w:p>
        </w:tc>
        <w:tc>
          <w:tcPr>
            <w:tcW w:type="dxa" w:w="2520"/>
            <w:vAlign w:val="center"/>
            <w:tcMar>
              <w:top w:w="80" w:type="dxa"/>
              <w:start w:w="80" w:type="dxa"/>
              <w:bottom w:w="80" w:type="dxa"/>
              <w:end w:w="80" w:type="dxa"/>
            </w:tcMar>
          </w:tcPr>
          <w:p>
            <w:pPr>
              <w:spacing w:after="0" w:before="0"/>
            </w:pPr>
            <w:r>
              <w:rPr>
                <w:rFonts w:ascii="Aptos" w:hAnsi="Aptos"/>
                <w:sz w:val="18"/>
              </w:rPr>
              <w:t>711</w:t>
            </w:r>
          </w:p>
        </w:tc>
        <w:tc>
          <w:tcPr>
            <w:tcW w:type="dxa" w:w="2520"/>
            <w:vAlign w:val="center"/>
            <w:tcMar>
              <w:top w:w="80" w:type="dxa"/>
              <w:start w:w="80" w:type="dxa"/>
              <w:bottom w:w="80" w:type="dxa"/>
              <w:end w:w="80" w:type="dxa"/>
            </w:tcMar>
          </w:tcPr>
          <w:p>
            <w:pPr>
              <w:spacing w:after="0" w:before="0"/>
            </w:pPr>
            <w:r>
              <w:rPr>
                <w:rFonts w:ascii="Aptos" w:hAnsi="Aptos"/>
                <w:sz w:val="18"/>
              </w:rPr>
              <w:t>7.94</w:t>
            </w:r>
          </w:p>
        </w:tc>
        <w:tc>
          <w:tcPr>
            <w:tcW w:type="dxa" w:w="2520"/>
            <w:vAlign w:val="center"/>
            <w:tcMar>
              <w:top w:w="80" w:type="dxa"/>
              <w:start w:w="80" w:type="dxa"/>
              <w:bottom w:w="80" w:type="dxa"/>
              <w:end w:w="80" w:type="dxa"/>
            </w:tcMar>
          </w:tcPr>
          <w:p>
            <w:pPr>
              <w:spacing w:after="0" w:before="0"/>
            </w:pPr>
            <w:r>
              <w:rPr>
                <w:rFonts w:ascii="Aptos" w:hAnsi="Aptos"/>
                <w:sz w:val="18"/>
              </w:rPr>
              <w:t>NGN 367,734.07</w:t>
            </w:r>
          </w:p>
        </w:tc>
      </w:tr>
      <w:tr>
        <w:tc>
          <w:tcPr>
            <w:tcW w:type="dxa" w:w="2520"/>
            <w:vAlign w:val="center"/>
            <w:tcMar>
              <w:top w:w="80" w:type="dxa"/>
              <w:start w:w="80" w:type="dxa"/>
              <w:bottom w:w="80" w:type="dxa"/>
              <w:end w:w="80" w:type="dxa"/>
            </w:tcMar>
          </w:tcPr>
          <w:p>
            <w:pPr>
              <w:spacing w:after="0" w:before="0"/>
            </w:pPr>
            <w:r>
              <w:rPr>
                <w:rFonts w:ascii="Aptos" w:hAnsi="Aptos"/>
                <w:sz w:val="18"/>
              </w:rPr>
              <w:t>Premium</w:t>
            </w:r>
          </w:p>
        </w:tc>
        <w:tc>
          <w:tcPr>
            <w:tcW w:type="dxa" w:w="2520"/>
            <w:vAlign w:val="center"/>
            <w:tcMar>
              <w:top w:w="80" w:type="dxa"/>
              <w:start w:w="80" w:type="dxa"/>
              <w:bottom w:w="80" w:type="dxa"/>
              <w:end w:w="80" w:type="dxa"/>
            </w:tcMar>
          </w:tcPr>
          <w:p>
            <w:pPr>
              <w:spacing w:after="0" w:before="0"/>
            </w:pPr>
            <w:r>
              <w:rPr>
                <w:rFonts w:ascii="Aptos" w:hAnsi="Aptos"/>
                <w:sz w:val="18"/>
              </w:rPr>
              <w:t>295</w:t>
            </w:r>
          </w:p>
        </w:tc>
        <w:tc>
          <w:tcPr>
            <w:tcW w:type="dxa" w:w="2520"/>
            <w:vAlign w:val="center"/>
            <w:tcMar>
              <w:top w:w="80" w:type="dxa"/>
              <w:start w:w="80" w:type="dxa"/>
              <w:bottom w:w="80" w:type="dxa"/>
              <w:end w:w="80" w:type="dxa"/>
            </w:tcMar>
          </w:tcPr>
          <w:p>
            <w:pPr>
              <w:spacing w:after="0" w:before="0"/>
            </w:pPr>
            <w:r>
              <w:rPr>
                <w:rFonts w:ascii="Aptos" w:hAnsi="Aptos"/>
                <w:sz w:val="18"/>
              </w:rPr>
              <w:t>8.00</w:t>
            </w:r>
          </w:p>
        </w:tc>
        <w:tc>
          <w:tcPr>
            <w:tcW w:type="dxa" w:w="2520"/>
            <w:vAlign w:val="center"/>
            <w:tcMar>
              <w:top w:w="80" w:type="dxa"/>
              <w:start w:w="80" w:type="dxa"/>
              <w:bottom w:w="80" w:type="dxa"/>
              <w:end w:w="80" w:type="dxa"/>
            </w:tcMar>
          </w:tcPr>
          <w:p>
            <w:pPr>
              <w:spacing w:after="0" w:before="0"/>
            </w:pPr>
            <w:r>
              <w:rPr>
                <w:rFonts w:ascii="Aptos" w:hAnsi="Aptos"/>
                <w:sz w:val="18"/>
              </w:rPr>
              <w:t>NGN 365,258.29</w:t>
            </w:r>
          </w:p>
        </w:tc>
      </w:tr>
    </w:tbl>
    <w:p>
      <w:r>
        <w:rPr>
          <w:b/>
        </w:rPr>
        <w:t xml:space="preserve">Key interpretation. </w:t>
      </w:r>
      <w:r>
        <w:t>Everyday is the largest segment, but normalized KPIs reveal a different picture. SME customers generate the highest transaction value per customer, while Student customers have the highest transaction frequency per customer. This supports using normalized KPIs alongside overall totals when comparing segments.</w:t>
      </w:r>
    </w:p>
    <w:p>
      <w:pPr>
        <w:pStyle w:val="Heading1"/>
      </w:pPr>
      <w:r>
        <w:t>4. Digital Engagement KPIs</w:t>
      </w:r>
    </w:p>
    <w:tbl>
      <w:tblPr>
        <w:tblW w:type="auto" w:w="0"/>
        <w:jc w:val="center"/>
        <w:tblLayout w:type="autofit"/>
        <w:tblLook w:firstColumn="1" w:firstRow="1" w:lastColumn="0" w:lastRow="0" w:noHBand="0" w:noVBand="1" w:val="04A0"/>
        <w:tblBorders>
          <w:top w:val="single" w:sz="5" w:space="0" w:color="B7C9DB"/>
          <w:start w:val="single" w:sz="5" w:space="0" w:color="B7C9DB"/>
          <w:bottom w:val="single" w:sz="5" w:space="0" w:color="B7C9DB"/>
          <w:end w:val="single" w:sz="5" w:space="0" w:color="B7C9DB"/>
          <w:insideH w:val="single" w:sz="5" w:space="0" w:color="B7C9DB"/>
          <w:insideV w:val="single" w:sz="5" w:space="0" w:color="B7C9DB"/>
        </w:tblBorders>
      </w:tblPr>
      <w:tblGrid>
        <w:gridCol w:w="2520"/>
        <w:gridCol w:w="2520"/>
        <w:gridCol w:w="2520"/>
        <w:gridCol w:w="2520"/>
      </w:tblGrid>
      <w:tr>
        <w:trPr>
          <w:tblHeader w:val="true"/>
        </w:trPr>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Engagement Level</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Customers</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Avg. Transactions per Customer</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Avg. Transaction Value per Customer</w:t>
            </w:r>
          </w:p>
        </w:tc>
      </w:tr>
      <w:tr>
        <w:tc>
          <w:tcPr>
            <w:tcW w:type="dxa" w:w="2520"/>
            <w:vAlign w:val="center"/>
            <w:tcMar>
              <w:top w:w="80" w:type="dxa"/>
              <w:start w:w="80" w:type="dxa"/>
              <w:bottom w:w="80" w:type="dxa"/>
              <w:end w:w="80" w:type="dxa"/>
            </w:tcMar>
          </w:tcPr>
          <w:p>
            <w:pPr>
              <w:spacing w:after="0" w:before="0"/>
            </w:pPr>
            <w:r>
              <w:rPr>
                <w:rFonts w:ascii="Aptos" w:hAnsi="Aptos"/>
                <w:sz w:val="18"/>
              </w:rPr>
              <w:t>Low Engagement</w:t>
            </w:r>
          </w:p>
        </w:tc>
        <w:tc>
          <w:tcPr>
            <w:tcW w:type="dxa" w:w="2520"/>
            <w:vAlign w:val="center"/>
            <w:tcMar>
              <w:top w:w="80" w:type="dxa"/>
              <w:start w:w="80" w:type="dxa"/>
              <w:bottom w:w="80" w:type="dxa"/>
              <w:end w:w="80" w:type="dxa"/>
            </w:tcMar>
          </w:tcPr>
          <w:p>
            <w:pPr>
              <w:spacing w:after="0" w:before="0"/>
            </w:pPr>
            <w:r>
              <w:rPr>
                <w:rFonts w:ascii="Aptos" w:hAnsi="Aptos"/>
                <w:sz w:val="18"/>
              </w:rPr>
              <w:t>96</w:t>
            </w:r>
          </w:p>
        </w:tc>
        <w:tc>
          <w:tcPr>
            <w:tcW w:type="dxa" w:w="2520"/>
            <w:vAlign w:val="center"/>
            <w:tcMar>
              <w:top w:w="80" w:type="dxa"/>
              <w:start w:w="80" w:type="dxa"/>
              <w:bottom w:w="80" w:type="dxa"/>
              <w:end w:w="80" w:type="dxa"/>
            </w:tcMar>
          </w:tcPr>
          <w:p>
            <w:pPr>
              <w:spacing w:after="0" w:before="0"/>
            </w:pPr>
            <w:r>
              <w:rPr>
                <w:rFonts w:ascii="Aptos" w:hAnsi="Aptos"/>
                <w:sz w:val="18"/>
              </w:rPr>
              <w:t>7.97</w:t>
            </w:r>
          </w:p>
        </w:tc>
        <w:tc>
          <w:tcPr>
            <w:tcW w:type="dxa" w:w="2520"/>
            <w:vAlign w:val="center"/>
            <w:tcMar>
              <w:top w:w="80" w:type="dxa"/>
              <w:start w:w="80" w:type="dxa"/>
              <w:bottom w:w="80" w:type="dxa"/>
              <w:end w:w="80" w:type="dxa"/>
            </w:tcMar>
          </w:tcPr>
          <w:p>
            <w:pPr>
              <w:spacing w:after="0" w:before="0"/>
            </w:pPr>
            <w:r>
              <w:rPr>
                <w:rFonts w:ascii="Aptos" w:hAnsi="Aptos"/>
                <w:sz w:val="18"/>
              </w:rPr>
              <w:t>NGN 359,967.31</w:t>
            </w:r>
          </w:p>
        </w:tc>
      </w:tr>
      <w:tr>
        <w:tc>
          <w:tcPr>
            <w:tcW w:type="dxa" w:w="2520"/>
            <w:vAlign w:val="center"/>
            <w:tcMar>
              <w:top w:w="80" w:type="dxa"/>
              <w:start w:w="80" w:type="dxa"/>
              <w:bottom w:w="80" w:type="dxa"/>
              <w:end w:w="80" w:type="dxa"/>
            </w:tcMar>
          </w:tcPr>
          <w:p>
            <w:pPr>
              <w:spacing w:after="0" w:before="0"/>
            </w:pPr>
            <w:r>
              <w:rPr>
                <w:rFonts w:ascii="Aptos" w:hAnsi="Aptos"/>
                <w:sz w:val="18"/>
              </w:rPr>
              <w:t>Medium Engagement</w:t>
            </w:r>
          </w:p>
        </w:tc>
        <w:tc>
          <w:tcPr>
            <w:tcW w:type="dxa" w:w="2520"/>
            <w:vAlign w:val="center"/>
            <w:tcMar>
              <w:top w:w="80" w:type="dxa"/>
              <w:start w:w="80" w:type="dxa"/>
              <w:bottom w:w="80" w:type="dxa"/>
              <w:end w:w="80" w:type="dxa"/>
            </w:tcMar>
          </w:tcPr>
          <w:p>
            <w:pPr>
              <w:spacing w:after="0" w:before="0"/>
            </w:pPr>
            <w:r>
              <w:rPr>
                <w:rFonts w:ascii="Aptos" w:hAnsi="Aptos"/>
                <w:sz w:val="18"/>
              </w:rPr>
              <w:t>721</w:t>
            </w:r>
          </w:p>
        </w:tc>
        <w:tc>
          <w:tcPr>
            <w:tcW w:type="dxa" w:w="2520"/>
            <w:vAlign w:val="center"/>
            <w:tcMar>
              <w:top w:w="80" w:type="dxa"/>
              <w:start w:w="80" w:type="dxa"/>
              <w:bottom w:w="80" w:type="dxa"/>
              <w:end w:w="80" w:type="dxa"/>
            </w:tcMar>
          </w:tcPr>
          <w:p>
            <w:pPr>
              <w:spacing w:after="0" w:before="0"/>
            </w:pPr>
            <w:r>
              <w:rPr>
                <w:rFonts w:ascii="Aptos" w:hAnsi="Aptos"/>
                <w:sz w:val="18"/>
              </w:rPr>
              <w:t>7.89</w:t>
            </w:r>
          </w:p>
        </w:tc>
        <w:tc>
          <w:tcPr>
            <w:tcW w:type="dxa" w:w="2520"/>
            <w:vAlign w:val="center"/>
            <w:tcMar>
              <w:top w:w="80" w:type="dxa"/>
              <w:start w:w="80" w:type="dxa"/>
              <w:bottom w:w="80" w:type="dxa"/>
              <w:end w:w="80" w:type="dxa"/>
            </w:tcMar>
          </w:tcPr>
          <w:p>
            <w:pPr>
              <w:spacing w:after="0" w:before="0"/>
            </w:pPr>
            <w:r>
              <w:rPr>
                <w:rFonts w:ascii="Aptos" w:hAnsi="Aptos"/>
                <w:sz w:val="18"/>
              </w:rPr>
              <w:t>NGN 369,721.08</w:t>
            </w:r>
          </w:p>
        </w:tc>
      </w:tr>
      <w:tr>
        <w:tc>
          <w:tcPr>
            <w:tcW w:type="dxa" w:w="2520"/>
            <w:vAlign w:val="center"/>
            <w:tcMar>
              <w:top w:w="80" w:type="dxa"/>
              <w:start w:w="80" w:type="dxa"/>
              <w:bottom w:w="80" w:type="dxa"/>
              <w:end w:w="80" w:type="dxa"/>
            </w:tcMar>
          </w:tcPr>
          <w:p>
            <w:pPr>
              <w:spacing w:after="0" w:before="0"/>
            </w:pPr>
            <w:r>
              <w:rPr>
                <w:rFonts w:ascii="Aptos" w:hAnsi="Aptos"/>
                <w:sz w:val="18"/>
              </w:rPr>
              <w:t>High Engagement</w:t>
            </w:r>
          </w:p>
        </w:tc>
        <w:tc>
          <w:tcPr>
            <w:tcW w:type="dxa" w:w="2520"/>
            <w:vAlign w:val="center"/>
            <w:tcMar>
              <w:top w:w="80" w:type="dxa"/>
              <w:start w:w="80" w:type="dxa"/>
              <w:bottom w:w="80" w:type="dxa"/>
              <w:end w:w="80" w:type="dxa"/>
            </w:tcMar>
          </w:tcPr>
          <w:p>
            <w:pPr>
              <w:spacing w:after="0" w:before="0"/>
            </w:pPr>
            <w:r>
              <w:rPr>
                <w:rFonts w:ascii="Aptos" w:hAnsi="Aptos"/>
                <w:sz w:val="18"/>
              </w:rPr>
              <w:t>683</w:t>
            </w:r>
          </w:p>
        </w:tc>
        <w:tc>
          <w:tcPr>
            <w:tcW w:type="dxa" w:w="2520"/>
            <w:vAlign w:val="center"/>
            <w:tcMar>
              <w:top w:w="80" w:type="dxa"/>
              <w:start w:w="80" w:type="dxa"/>
              <w:bottom w:w="80" w:type="dxa"/>
              <w:end w:w="80" w:type="dxa"/>
            </w:tcMar>
          </w:tcPr>
          <w:p>
            <w:pPr>
              <w:spacing w:after="0" w:before="0"/>
            </w:pPr>
            <w:r>
              <w:rPr>
                <w:rFonts w:ascii="Aptos" w:hAnsi="Aptos"/>
                <w:sz w:val="18"/>
              </w:rPr>
              <w:t>8.12</w:t>
            </w:r>
          </w:p>
        </w:tc>
        <w:tc>
          <w:tcPr>
            <w:tcW w:type="dxa" w:w="2520"/>
            <w:vAlign w:val="center"/>
            <w:tcMar>
              <w:top w:w="80" w:type="dxa"/>
              <w:start w:w="80" w:type="dxa"/>
              <w:bottom w:w="80" w:type="dxa"/>
              <w:end w:w="80" w:type="dxa"/>
            </w:tcMar>
          </w:tcPr>
          <w:p>
            <w:pPr>
              <w:spacing w:after="0" w:before="0"/>
            </w:pPr>
            <w:r>
              <w:rPr>
                <w:rFonts w:ascii="Aptos" w:hAnsi="Aptos"/>
                <w:sz w:val="18"/>
              </w:rPr>
              <w:t>NGN 379,724.15</w:t>
            </w:r>
          </w:p>
        </w:tc>
      </w:tr>
    </w:tbl>
    <w:p>
      <w:r>
        <w:t>High-engagement customers record the highest average transaction value per customer and the highest average transaction frequency. However, the frequency difference is modest and is not strictly increasing from low to medium to high engagement. Engagement is therefore a useful customer-value indicator, but it should not be treated as the sole explanation for transaction behaviour.</w:t>
      </w:r>
    </w:p>
    <w:p>
      <w:pPr>
        <w:pStyle w:val="Heading1"/>
      </w:pPr>
      <w:r>
        <w:t>5. Operational and Risk KPIs</w:t>
      </w:r>
    </w:p>
    <w:tbl>
      <w:tblPr>
        <w:tblW w:type="auto" w:w="0"/>
        <w:jc w:val="center"/>
        <w:tblLayout w:type="autofit"/>
        <w:tblLook w:firstColumn="1" w:firstRow="1" w:lastColumn="0" w:lastRow="0" w:noHBand="0" w:noVBand="1" w:val="04A0"/>
        <w:tblBorders>
          <w:top w:val="single" w:sz="5" w:space="0" w:color="B7C9DB"/>
          <w:start w:val="single" w:sz="5" w:space="0" w:color="B7C9DB"/>
          <w:bottom w:val="single" w:sz="5" w:space="0" w:color="B7C9DB"/>
          <w:end w:val="single" w:sz="5" w:space="0" w:color="B7C9DB"/>
          <w:insideH w:val="single" w:sz="5" w:space="0" w:color="B7C9DB"/>
          <w:insideV w:val="single" w:sz="5" w:space="0" w:color="B7C9DB"/>
        </w:tblBorders>
      </w:tblPr>
      <w:tblGrid>
        <w:gridCol w:w="2520"/>
        <w:gridCol w:w="2520"/>
        <w:gridCol w:w="2520"/>
        <w:gridCol w:w="2520"/>
      </w:tblGrid>
      <w:tr>
        <w:trPr>
          <w:tblHeader w:val="true"/>
        </w:trPr>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KPI / Indicator</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Category</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Value</w:t>
            </w:r>
          </w:p>
        </w:tc>
        <w:tc>
          <w:tcPr>
            <w:tcW w:type="dxa" w:w="2520"/>
            <w:vAlign w:val="center"/>
            <w:tcMar>
              <w:top w:w="80" w:type="dxa"/>
              <w:start w:w="80" w:type="dxa"/>
              <w:bottom w:w="80" w:type="dxa"/>
              <w:end w:w="80" w:type="dxa"/>
            </w:tcMar>
            <w:shd w:fill="1F4E78"/>
          </w:tcPr>
          <w:p>
            <w:pPr>
              <w:spacing w:after="0" w:before="0"/>
            </w:pPr>
            <w:r>
              <w:rPr>
                <w:rFonts w:ascii="Aptos" w:hAnsi="Aptos"/>
                <w:b/>
                <w:color w:val="FFFFFF"/>
                <w:sz w:val="18"/>
              </w:rPr>
              <w:t>Business Meaning</w:t>
            </w:r>
          </w:p>
        </w:tc>
      </w:tr>
      <w:tr>
        <w:tc>
          <w:tcPr>
            <w:tcW w:type="dxa" w:w="2520"/>
            <w:vAlign w:val="center"/>
            <w:tcMar>
              <w:top w:w="80" w:type="dxa"/>
              <w:start w:w="80" w:type="dxa"/>
              <w:bottom w:w="80" w:type="dxa"/>
              <w:end w:w="80" w:type="dxa"/>
            </w:tcMar>
          </w:tcPr>
          <w:p>
            <w:pPr>
              <w:spacing w:after="0" w:before="0"/>
            </w:pPr>
            <w:r>
              <w:rPr>
                <w:rFonts w:ascii="Aptos" w:hAnsi="Aptos"/>
                <w:sz w:val="18"/>
              </w:rPr>
              <w:t>Highest failure-rate combination</w:t>
            </w:r>
          </w:p>
        </w:tc>
        <w:tc>
          <w:tcPr>
            <w:tcW w:type="dxa" w:w="2520"/>
            <w:vAlign w:val="center"/>
            <w:tcMar>
              <w:top w:w="80" w:type="dxa"/>
              <w:start w:w="80" w:type="dxa"/>
              <w:bottom w:w="80" w:type="dxa"/>
              <w:end w:w="80" w:type="dxa"/>
            </w:tcMar>
          </w:tcPr>
          <w:p>
            <w:pPr>
              <w:spacing w:after="0" w:before="0"/>
            </w:pPr>
            <w:r>
              <w:rPr>
                <w:rFonts w:ascii="Aptos" w:hAnsi="Aptos"/>
                <w:sz w:val="18"/>
              </w:rPr>
              <w:t>POS + Bill Payment</w:t>
            </w:r>
          </w:p>
        </w:tc>
        <w:tc>
          <w:tcPr>
            <w:tcW w:type="dxa" w:w="2520"/>
            <w:vAlign w:val="center"/>
            <w:tcMar>
              <w:top w:w="80" w:type="dxa"/>
              <w:start w:w="80" w:type="dxa"/>
              <w:bottom w:w="80" w:type="dxa"/>
              <w:end w:w="80" w:type="dxa"/>
            </w:tcMar>
          </w:tcPr>
          <w:p>
            <w:pPr>
              <w:spacing w:after="0" w:before="0"/>
            </w:pPr>
            <w:r>
              <w:rPr>
                <w:rFonts w:ascii="Aptos" w:hAnsi="Aptos"/>
                <w:sz w:val="18"/>
              </w:rPr>
              <w:t>7.22%</w:t>
            </w:r>
          </w:p>
        </w:tc>
        <w:tc>
          <w:tcPr>
            <w:tcW w:type="dxa" w:w="2520"/>
            <w:vAlign w:val="center"/>
            <w:tcMar>
              <w:top w:w="80" w:type="dxa"/>
              <w:start w:w="80" w:type="dxa"/>
              <w:bottom w:w="80" w:type="dxa"/>
              <w:end w:w="80" w:type="dxa"/>
            </w:tcMar>
          </w:tcPr>
          <w:p>
            <w:pPr>
              <w:spacing w:after="0" w:before="0"/>
            </w:pPr>
            <w:r>
              <w:rPr>
                <w:rFonts w:ascii="Aptos" w:hAnsi="Aptos"/>
                <w:sz w:val="18"/>
              </w:rPr>
              <w:t>Highest observed failure propensity among channel and transaction-type combinations.</w:t>
            </w:r>
          </w:p>
        </w:tc>
      </w:tr>
      <w:tr>
        <w:tc>
          <w:tcPr>
            <w:tcW w:type="dxa" w:w="2520"/>
            <w:vAlign w:val="center"/>
            <w:tcMar>
              <w:top w:w="80" w:type="dxa"/>
              <w:start w:w="80" w:type="dxa"/>
              <w:bottom w:w="80" w:type="dxa"/>
              <w:end w:w="80" w:type="dxa"/>
            </w:tcMar>
          </w:tcPr>
          <w:p>
            <w:pPr>
              <w:spacing w:after="0" w:before="0"/>
            </w:pPr>
            <w:r>
              <w:rPr>
                <w:rFonts w:ascii="Aptos" w:hAnsi="Aptos"/>
                <w:sz w:val="18"/>
              </w:rPr>
              <w:t>Second-highest failure-rate combination</w:t>
            </w:r>
          </w:p>
        </w:tc>
        <w:tc>
          <w:tcPr>
            <w:tcW w:type="dxa" w:w="2520"/>
            <w:vAlign w:val="center"/>
            <w:tcMar>
              <w:top w:w="80" w:type="dxa"/>
              <w:start w:w="80" w:type="dxa"/>
              <w:bottom w:w="80" w:type="dxa"/>
              <w:end w:w="80" w:type="dxa"/>
            </w:tcMar>
          </w:tcPr>
          <w:p>
            <w:pPr>
              <w:spacing w:after="0" w:before="0"/>
            </w:pPr>
            <w:r>
              <w:rPr>
                <w:rFonts w:ascii="Aptos" w:hAnsi="Aptos"/>
                <w:sz w:val="18"/>
              </w:rPr>
              <w:t>USSD + Transfer</w:t>
            </w:r>
          </w:p>
        </w:tc>
        <w:tc>
          <w:tcPr>
            <w:tcW w:type="dxa" w:w="2520"/>
            <w:vAlign w:val="center"/>
            <w:tcMar>
              <w:top w:w="80" w:type="dxa"/>
              <w:start w:w="80" w:type="dxa"/>
              <w:bottom w:w="80" w:type="dxa"/>
              <w:end w:w="80" w:type="dxa"/>
            </w:tcMar>
          </w:tcPr>
          <w:p>
            <w:pPr>
              <w:spacing w:after="0" w:before="0"/>
            </w:pPr>
            <w:r>
              <w:rPr>
                <w:rFonts w:ascii="Aptos" w:hAnsi="Aptos"/>
                <w:sz w:val="18"/>
              </w:rPr>
              <w:t>7.20%</w:t>
            </w:r>
          </w:p>
        </w:tc>
        <w:tc>
          <w:tcPr>
            <w:tcW w:type="dxa" w:w="2520"/>
            <w:vAlign w:val="center"/>
            <w:tcMar>
              <w:top w:w="80" w:type="dxa"/>
              <w:start w:w="80" w:type="dxa"/>
              <w:bottom w:w="80" w:type="dxa"/>
              <w:end w:w="80" w:type="dxa"/>
            </w:tcMar>
          </w:tcPr>
          <w:p>
            <w:pPr>
              <w:spacing w:after="0" w:before="0"/>
            </w:pPr>
            <w:r>
              <w:rPr>
                <w:rFonts w:ascii="Aptos" w:hAnsi="Aptos"/>
                <w:sz w:val="18"/>
              </w:rPr>
              <w:t>Another combination requiring closer operational monitoring.</w:t>
            </w:r>
          </w:p>
        </w:tc>
      </w:tr>
      <w:tr>
        <w:tc>
          <w:tcPr>
            <w:tcW w:type="dxa" w:w="2520"/>
            <w:vAlign w:val="center"/>
            <w:tcMar>
              <w:top w:w="80" w:type="dxa"/>
              <w:start w:w="80" w:type="dxa"/>
              <w:bottom w:w="80" w:type="dxa"/>
              <w:end w:w="80" w:type="dxa"/>
            </w:tcMar>
          </w:tcPr>
          <w:p>
            <w:pPr>
              <w:spacing w:after="0" w:before="0"/>
            </w:pPr>
            <w:r>
              <w:rPr>
                <w:rFonts w:ascii="Aptos" w:hAnsi="Aptos"/>
                <w:sz w:val="18"/>
              </w:rPr>
              <w:t>Largest absolute failed count noted</w:t>
            </w:r>
          </w:p>
        </w:tc>
        <w:tc>
          <w:tcPr>
            <w:tcW w:type="dxa" w:w="2520"/>
            <w:vAlign w:val="center"/>
            <w:tcMar>
              <w:top w:w="80" w:type="dxa"/>
              <w:start w:w="80" w:type="dxa"/>
              <w:bottom w:w="80" w:type="dxa"/>
              <w:end w:w="80" w:type="dxa"/>
            </w:tcMar>
          </w:tcPr>
          <w:p>
            <w:pPr>
              <w:spacing w:after="0" w:before="0"/>
            </w:pPr>
            <w:r>
              <w:rPr>
                <w:rFonts w:ascii="Aptos" w:hAnsi="Aptos"/>
                <w:sz w:val="18"/>
              </w:rPr>
              <w:t>Mobile App + Transfer</w:t>
            </w:r>
          </w:p>
        </w:tc>
        <w:tc>
          <w:tcPr>
            <w:tcW w:type="dxa" w:w="2520"/>
            <w:vAlign w:val="center"/>
            <w:tcMar>
              <w:top w:w="80" w:type="dxa"/>
              <w:start w:w="80" w:type="dxa"/>
              <w:bottom w:w="80" w:type="dxa"/>
              <w:end w:w="80" w:type="dxa"/>
            </w:tcMar>
          </w:tcPr>
          <w:p>
            <w:pPr>
              <w:spacing w:after="0" w:before="0"/>
            </w:pPr>
            <w:r>
              <w:rPr>
                <w:rFonts w:ascii="Aptos" w:hAnsi="Aptos"/>
                <w:sz w:val="18"/>
              </w:rPr>
              <w:t>93 failed transactions</w:t>
            </w:r>
          </w:p>
        </w:tc>
        <w:tc>
          <w:tcPr>
            <w:tcW w:type="dxa" w:w="2520"/>
            <w:vAlign w:val="center"/>
            <w:tcMar>
              <w:top w:w="80" w:type="dxa"/>
              <w:start w:w="80" w:type="dxa"/>
              <w:bottom w:w="80" w:type="dxa"/>
              <w:end w:w="80" w:type="dxa"/>
            </w:tcMar>
          </w:tcPr>
          <w:p>
            <w:pPr>
              <w:spacing w:after="0" w:before="0"/>
            </w:pPr>
            <w:r>
              <w:rPr>
                <w:rFonts w:ascii="Aptos" w:hAnsi="Aptos"/>
                <w:sz w:val="18"/>
              </w:rPr>
              <w:t>Shows why failure count should be monitored alongside failure rate.</w:t>
            </w:r>
          </w:p>
        </w:tc>
      </w:tr>
      <w:tr>
        <w:tc>
          <w:tcPr>
            <w:tcW w:type="dxa" w:w="2520"/>
            <w:vAlign w:val="center"/>
            <w:tcMar>
              <w:top w:w="80" w:type="dxa"/>
              <w:start w:w="80" w:type="dxa"/>
              <w:bottom w:w="80" w:type="dxa"/>
              <w:end w:w="80" w:type="dxa"/>
            </w:tcMar>
          </w:tcPr>
          <w:p>
            <w:pPr>
              <w:spacing w:after="0" w:before="0"/>
            </w:pPr>
            <w:r>
              <w:rPr>
                <w:rFonts w:ascii="Aptos" w:hAnsi="Aptos"/>
                <w:sz w:val="18"/>
              </w:rPr>
              <w:t>Risk review: Below NGN 10K</w:t>
            </w:r>
          </w:p>
        </w:tc>
        <w:tc>
          <w:tcPr>
            <w:tcW w:type="dxa" w:w="2520"/>
            <w:vAlign w:val="center"/>
            <w:tcMar>
              <w:top w:w="80" w:type="dxa"/>
              <w:start w:w="80" w:type="dxa"/>
              <w:bottom w:w="80" w:type="dxa"/>
              <w:end w:w="80" w:type="dxa"/>
            </w:tcMar>
          </w:tcPr>
          <w:p>
            <w:pPr>
              <w:spacing w:after="0" w:before="0"/>
            </w:pPr>
            <w:r>
              <w:rPr>
                <w:rFonts w:ascii="Aptos" w:hAnsi="Aptos"/>
                <w:sz w:val="18"/>
              </w:rPr>
              <w:t>Below 10K</w:t>
            </w:r>
          </w:p>
        </w:tc>
        <w:tc>
          <w:tcPr>
            <w:tcW w:type="dxa" w:w="2520"/>
            <w:vAlign w:val="center"/>
            <w:tcMar>
              <w:top w:w="80" w:type="dxa"/>
              <w:start w:w="80" w:type="dxa"/>
              <w:bottom w:w="80" w:type="dxa"/>
              <w:end w:w="80" w:type="dxa"/>
            </w:tcMar>
          </w:tcPr>
          <w:p>
            <w:pPr>
              <w:spacing w:after="0" w:before="0"/>
            </w:pPr>
            <w:r>
              <w:rPr>
                <w:rFonts w:ascii="Aptos" w:hAnsi="Aptos"/>
                <w:sz w:val="18"/>
              </w:rPr>
              <w:t>17.66%</w:t>
            </w:r>
          </w:p>
        </w:tc>
        <w:tc>
          <w:tcPr>
            <w:tcW w:type="dxa" w:w="2520"/>
            <w:vAlign w:val="center"/>
            <w:tcMar>
              <w:top w:w="80" w:type="dxa"/>
              <w:start w:w="80" w:type="dxa"/>
              <w:bottom w:w="80" w:type="dxa"/>
              <w:end w:w="80" w:type="dxa"/>
            </w:tcMar>
          </w:tcPr>
          <w:p>
            <w:pPr>
              <w:spacing w:after="0" w:before="0"/>
            </w:pPr>
            <w:r>
              <w:rPr>
                <w:rFonts w:ascii="Aptos" w:hAnsi="Aptos"/>
                <w:sz w:val="18"/>
              </w:rPr>
              <w:t>Lower-value transactions have a materially lower review rate.</w:t>
            </w:r>
          </w:p>
        </w:tc>
      </w:tr>
      <w:tr>
        <w:tc>
          <w:tcPr>
            <w:tcW w:type="dxa" w:w="2520"/>
            <w:vAlign w:val="center"/>
            <w:tcMar>
              <w:top w:w="80" w:type="dxa"/>
              <w:start w:w="80" w:type="dxa"/>
              <w:bottom w:w="80" w:type="dxa"/>
              <w:end w:w="80" w:type="dxa"/>
            </w:tcMar>
          </w:tcPr>
          <w:p>
            <w:pPr>
              <w:spacing w:after="0" w:before="0"/>
            </w:pPr>
            <w:r>
              <w:rPr>
                <w:rFonts w:ascii="Aptos" w:hAnsi="Aptos"/>
                <w:sz w:val="18"/>
              </w:rPr>
              <w:t>Risk review: NGN 200K+</w:t>
            </w:r>
          </w:p>
        </w:tc>
        <w:tc>
          <w:tcPr>
            <w:tcW w:type="dxa" w:w="2520"/>
            <w:vAlign w:val="center"/>
            <w:tcMar>
              <w:top w:w="80" w:type="dxa"/>
              <w:start w:w="80" w:type="dxa"/>
              <w:bottom w:w="80" w:type="dxa"/>
              <w:end w:w="80" w:type="dxa"/>
            </w:tcMar>
          </w:tcPr>
          <w:p>
            <w:pPr>
              <w:spacing w:after="0" w:before="0"/>
            </w:pPr>
            <w:r>
              <w:rPr>
                <w:rFonts w:ascii="Aptos" w:hAnsi="Aptos"/>
                <w:sz w:val="18"/>
              </w:rPr>
              <w:t>200K and Above</w:t>
            </w:r>
          </w:p>
        </w:tc>
        <w:tc>
          <w:tcPr>
            <w:tcW w:type="dxa" w:w="2520"/>
            <w:vAlign w:val="center"/>
            <w:tcMar>
              <w:top w:w="80" w:type="dxa"/>
              <w:start w:w="80" w:type="dxa"/>
              <w:bottom w:w="80" w:type="dxa"/>
              <w:end w:w="80" w:type="dxa"/>
            </w:tcMar>
          </w:tcPr>
          <w:p>
            <w:pPr>
              <w:spacing w:after="0" w:before="0"/>
            </w:pPr>
            <w:r>
              <w:rPr>
                <w:rFonts w:ascii="Aptos" w:hAnsi="Aptos"/>
                <w:sz w:val="18"/>
              </w:rPr>
              <w:t>40.54%</w:t>
            </w:r>
          </w:p>
        </w:tc>
        <w:tc>
          <w:tcPr>
            <w:tcW w:type="dxa" w:w="2520"/>
            <w:vAlign w:val="center"/>
            <w:tcMar>
              <w:top w:w="80" w:type="dxa"/>
              <w:start w:w="80" w:type="dxa"/>
              <w:bottom w:w="80" w:type="dxa"/>
              <w:end w:w="80" w:type="dxa"/>
            </w:tcMar>
          </w:tcPr>
          <w:p>
            <w:pPr>
              <w:spacing w:after="0" w:before="0"/>
            </w:pPr>
            <w:r>
              <w:rPr>
                <w:rFonts w:ascii="Aptos" w:hAnsi="Aptos"/>
                <w:sz w:val="18"/>
              </w:rPr>
              <w:t>High-value transactions are much more frequently selected for review.</w:t>
            </w:r>
          </w:p>
        </w:tc>
      </w:tr>
      <w:tr>
        <w:tc>
          <w:tcPr>
            <w:tcW w:type="dxa" w:w="2520"/>
            <w:vAlign w:val="center"/>
            <w:tcMar>
              <w:top w:w="80" w:type="dxa"/>
              <w:start w:w="80" w:type="dxa"/>
              <w:bottom w:w="80" w:type="dxa"/>
              <w:end w:w="80" w:type="dxa"/>
            </w:tcMar>
          </w:tcPr>
          <w:p>
            <w:pPr>
              <w:spacing w:after="0" w:before="0"/>
            </w:pPr>
            <w:r>
              <w:rPr>
                <w:rFonts w:ascii="Aptos" w:hAnsi="Aptos"/>
                <w:sz w:val="18"/>
              </w:rPr>
              <w:t>Top 10% high-value transactions</w:t>
            </w:r>
          </w:p>
        </w:tc>
        <w:tc>
          <w:tcPr>
            <w:tcW w:type="dxa" w:w="2520"/>
            <w:vAlign w:val="center"/>
            <w:tcMar>
              <w:top w:w="80" w:type="dxa"/>
              <w:start w:w="80" w:type="dxa"/>
              <w:bottom w:w="80" w:type="dxa"/>
              <w:end w:w="80" w:type="dxa"/>
            </w:tcMar>
          </w:tcPr>
          <w:p>
            <w:pPr>
              <w:spacing w:after="0" w:before="0"/>
            </w:pPr>
            <w:r>
              <w:rPr>
                <w:rFonts w:ascii="Aptos" w:hAnsi="Aptos"/>
                <w:sz w:val="18"/>
              </w:rPr>
              <w:t>Top 10% by amount</w:t>
            </w:r>
          </w:p>
        </w:tc>
        <w:tc>
          <w:tcPr>
            <w:tcW w:type="dxa" w:w="2520"/>
            <w:vAlign w:val="center"/>
            <w:tcMar>
              <w:top w:w="80" w:type="dxa"/>
              <w:start w:w="80" w:type="dxa"/>
              <w:bottom w:w="80" w:type="dxa"/>
              <w:end w:w="80" w:type="dxa"/>
            </w:tcMar>
          </w:tcPr>
          <w:p>
            <w:pPr>
              <w:spacing w:after="0" w:before="0"/>
            </w:pPr>
            <w:r>
              <w:rPr>
                <w:rFonts w:ascii="Aptos" w:hAnsi="Aptos"/>
                <w:sz w:val="18"/>
              </w:rPr>
              <w:t>36.00% risk review; 91.42% success</w:t>
            </w:r>
          </w:p>
        </w:tc>
        <w:tc>
          <w:tcPr>
            <w:tcW w:type="dxa" w:w="2520"/>
            <w:vAlign w:val="center"/>
            <w:tcMar>
              <w:top w:w="80" w:type="dxa"/>
              <w:start w:w="80" w:type="dxa"/>
              <w:bottom w:w="80" w:type="dxa"/>
              <w:end w:w="80" w:type="dxa"/>
            </w:tcMar>
          </w:tcPr>
          <w:p>
            <w:pPr>
              <w:spacing w:after="0" w:before="0"/>
            </w:pPr>
            <w:r>
              <w:rPr>
                <w:rFonts w:ascii="Aptos" w:hAnsi="Aptos"/>
                <w:sz w:val="18"/>
              </w:rPr>
              <w:t>High-value transactions receive more review attention while still maintaining a high success rate.</w:t>
            </w:r>
          </w:p>
        </w:tc>
      </w:tr>
    </w:tbl>
    <w:p>
      <w:r>
        <w:rPr>
          <w:b/>
        </w:rPr>
        <w:t xml:space="preserve">Risk interpretation note. </w:t>
      </w:r>
      <w:r>
        <w:t>Risk_Review_Flag is a synthetic educational review indicator. A higher review rate means transactions were more frequently selected for review; it must not be interpreted as a confirmed fraud rate.</w:t>
      </w:r>
    </w:p>
    <w:p>
      <w:pPr>
        <w:pStyle w:val="Heading1"/>
      </w:pPr>
      <w:r>
        <w:t>6. Week 3 KPI Development</w:t>
      </w:r>
    </w:p>
    <w:tbl>
      <w:tblPr>
        <w:tblW w:type="auto" w:w="0"/>
        <w:jc w:val="center"/>
        <w:tblLayout w:type="autofit"/>
        <w:tblLook w:firstColumn="1" w:firstRow="1" w:lastColumn="0" w:lastRow="0" w:noHBand="0" w:noVBand="1" w:val="04A0"/>
        <w:tblBorders>
          <w:top w:val="single" w:sz="5" w:space="0" w:color="B7C9DB"/>
          <w:start w:val="single" w:sz="5" w:space="0" w:color="B7C9DB"/>
          <w:bottom w:val="single" w:sz="5" w:space="0" w:color="B7C9DB"/>
          <w:end w:val="single" w:sz="5" w:space="0" w:color="B7C9DB"/>
          <w:insideH w:val="single" w:sz="5" w:space="0" w:color="B7C9DB"/>
          <w:insideV w:val="single" w:sz="5" w:space="0" w:color="B7C9DB"/>
        </w:tblBorders>
      </w:tblPr>
      <w:tblGrid>
        <w:gridCol w:w="5040"/>
        <w:gridCol w:w="5040"/>
      </w:tblGrid>
      <w:tr>
        <w:trPr>
          <w:tblHeader w:val="true"/>
        </w:trPr>
        <w:tc>
          <w:tcPr>
            <w:tcW w:type="dxa" w:w="5040"/>
            <w:vAlign w:val="center"/>
            <w:tcMar>
              <w:top w:w="80" w:type="dxa"/>
              <w:start w:w="80" w:type="dxa"/>
              <w:bottom w:w="80" w:type="dxa"/>
              <w:end w:w="80" w:type="dxa"/>
            </w:tcMar>
            <w:shd w:fill="1F4E78"/>
          </w:tcPr>
          <w:p>
            <w:pPr>
              <w:spacing w:after="0" w:before="0"/>
            </w:pPr>
            <w:r>
              <w:rPr>
                <w:rFonts w:ascii="Aptos" w:hAnsi="Aptos"/>
                <w:b/>
                <w:color w:val="FFFFFF"/>
                <w:sz w:val="18"/>
              </w:rPr>
              <w:t>Area</w:t>
            </w:r>
          </w:p>
        </w:tc>
        <w:tc>
          <w:tcPr>
            <w:tcW w:type="dxa" w:w="5040"/>
            <w:vAlign w:val="center"/>
            <w:tcMar>
              <w:top w:w="80" w:type="dxa"/>
              <w:start w:w="80" w:type="dxa"/>
              <w:bottom w:w="80" w:type="dxa"/>
              <w:end w:w="80" w:type="dxa"/>
            </w:tcMar>
            <w:shd w:fill="1F4E78"/>
          </w:tcPr>
          <w:p>
            <w:pPr>
              <w:spacing w:after="0" w:before="0"/>
            </w:pPr>
            <w:r>
              <w:rPr>
                <w:rFonts w:ascii="Aptos" w:hAnsi="Aptos"/>
                <w:b/>
                <w:color w:val="FFFFFF"/>
                <w:sz w:val="18"/>
              </w:rPr>
              <w:t>Week 3 Position</w:t>
            </w:r>
          </w:p>
        </w:tc>
      </w:tr>
      <w:tr>
        <w:tc>
          <w:tcPr>
            <w:tcW w:type="dxa" w:w="5040"/>
            <w:vAlign w:val="center"/>
            <w:tcMar>
              <w:top w:w="80" w:type="dxa"/>
              <w:start w:w="80" w:type="dxa"/>
              <w:bottom w:w="80" w:type="dxa"/>
              <w:end w:w="80" w:type="dxa"/>
            </w:tcMar>
          </w:tcPr>
          <w:p>
            <w:pPr>
              <w:spacing w:after="0" w:before="0"/>
            </w:pPr>
            <w:r>
              <w:rPr>
                <w:rFonts w:ascii="Aptos" w:hAnsi="Aptos"/>
                <w:sz w:val="18"/>
              </w:rPr>
              <w:t>Week 2 approach</w:t>
            </w:r>
          </w:p>
        </w:tc>
        <w:tc>
          <w:tcPr>
            <w:tcW w:type="dxa" w:w="5040"/>
            <w:vAlign w:val="center"/>
            <w:tcMar>
              <w:top w:w="80" w:type="dxa"/>
              <w:start w:w="80" w:type="dxa"/>
              <w:bottom w:w="80" w:type="dxa"/>
              <w:end w:w="80" w:type="dxa"/>
            </w:tcMar>
          </w:tcPr>
          <w:p>
            <w:pPr>
              <w:spacing w:after="0" w:before="0"/>
            </w:pPr>
            <w:r>
              <w:rPr>
                <w:rFonts w:ascii="Aptos" w:hAnsi="Aptos"/>
                <w:sz w:val="18"/>
              </w:rPr>
              <w:t>Portfolio totals and broad descriptive metrics.</w:t>
            </w:r>
          </w:p>
        </w:tc>
      </w:tr>
      <w:tr>
        <w:tc>
          <w:tcPr>
            <w:tcW w:type="dxa" w:w="5040"/>
            <w:vAlign w:val="center"/>
            <w:tcMar>
              <w:top w:w="80" w:type="dxa"/>
              <w:start w:w="80" w:type="dxa"/>
              <w:bottom w:w="80" w:type="dxa"/>
              <w:end w:w="80" w:type="dxa"/>
            </w:tcMar>
          </w:tcPr>
          <w:p>
            <w:pPr>
              <w:spacing w:after="0" w:before="0"/>
            </w:pPr>
            <w:r>
              <w:rPr>
                <w:rFonts w:ascii="Aptos" w:hAnsi="Aptos"/>
                <w:sz w:val="18"/>
              </w:rPr>
              <w:t>Week 3 improvement</w:t>
            </w:r>
          </w:p>
        </w:tc>
        <w:tc>
          <w:tcPr>
            <w:tcW w:type="dxa" w:w="5040"/>
            <w:vAlign w:val="center"/>
            <w:tcMar>
              <w:top w:w="80" w:type="dxa"/>
              <w:start w:w="80" w:type="dxa"/>
              <w:bottom w:w="80" w:type="dxa"/>
              <w:end w:w="80" w:type="dxa"/>
            </w:tcMar>
          </w:tcPr>
          <w:p>
            <w:pPr>
              <w:spacing w:after="0" w:before="0"/>
            </w:pPr>
            <w:r>
              <w:rPr>
                <w:rFonts w:ascii="Aptos" w:hAnsi="Aptos"/>
                <w:sz w:val="18"/>
              </w:rPr>
              <w:t>Added month-over-month KPIs, normalized segment KPIs, engagement KPIs, channel/type failure metrics and amount-band risk-review indicators.</w:t>
            </w:r>
          </w:p>
        </w:tc>
      </w:tr>
      <w:tr>
        <w:tc>
          <w:tcPr>
            <w:tcW w:type="dxa" w:w="5040"/>
            <w:vAlign w:val="center"/>
            <w:tcMar>
              <w:top w:w="80" w:type="dxa"/>
              <w:start w:w="80" w:type="dxa"/>
              <w:bottom w:w="80" w:type="dxa"/>
              <w:end w:w="80" w:type="dxa"/>
            </w:tcMar>
          </w:tcPr>
          <w:p>
            <w:pPr>
              <w:spacing w:after="0" w:before="0"/>
            </w:pPr>
            <w:r>
              <w:rPr>
                <w:rFonts w:ascii="Aptos" w:hAnsi="Aptos"/>
                <w:sz w:val="18"/>
              </w:rPr>
              <w:t>Validation</w:t>
            </w:r>
          </w:p>
        </w:tc>
        <w:tc>
          <w:tcPr>
            <w:tcW w:type="dxa" w:w="5040"/>
            <w:vAlign w:val="center"/>
            <w:tcMar>
              <w:top w:w="80" w:type="dxa"/>
              <w:start w:w="80" w:type="dxa"/>
              <w:bottom w:w="80" w:type="dxa"/>
              <w:end w:w="80" w:type="dxa"/>
            </w:tcMar>
          </w:tcPr>
          <w:p>
            <w:pPr>
              <w:spacing w:after="0" w:before="0"/>
            </w:pPr>
            <w:r>
              <w:rPr>
                <w:rFonts w:ascii="Aptos" w:hAnsi="Aptos"/>
                <w:sz w:val="18"/>
              </w:rPr>
              <w:t>Key KPI findings were checked across SQL, Python and Power BI where applicable.</w:t>
            </w:r>
          </w:p>
        </w:tc>
      </w:tr>
      <w:tr>
        <w:tc>
          <w:tcPr>
            <w:tcW w:type="dxa" w:w="5040"/>
            <w:vAlign w:val="center"/>
            <w:tcMar>
              <w:top w:w="80" w:type="dxa"/>
              <w:start w:w="80" w:type="dxa"/>
              <w:bottom w:w="80" w:type="dxa"/>
              <w:end w:w="80" w:type="dxa"/>
            </w:tcMar>
          </w:tcPr>
          <w:p>
            <w:pPr>
              <w:spacing w:after="0" w:before="0"/>
            </w:pPr>
            <w:r>
              <w:rPr>
                <w:rFonts w:ascii="Aptos" w:hAnsi="Aptos"/>
                <w:sz w:val="18"/>
              </w:rPr>
              <w:t>Management use</w:t>
            </w:r>
          </w:p>
        </w:tc>
        <w:tc>
          <w:tcPr>
            <w:tcW w:type="dxa" w:w="5040"/>
            <w:vAlign w:val="center"/>
            <w:tcMar>
              <w:top w:w="80" w:type="dxa"/>
              <w:start w:w="80" w:type="dxa"/>
              <w:bottom w:w="80" w:type="dxa"/>
              <w:end w:w="80" w:type="dxa"/>
            </w:tcMar>
          </w:tcPr>
          <w:p>
            <w:pPr>
              <w:spacing w:after="0" w:before="0"/>
            </w:pPr>
            <w:r>
              <w:rPr>
                <w:rFonts w:ascii="Aptos" w:hAnsi="Aptos"/>
                <w:sz w:val="18"/>
              </w:rPr>
              <w:t>The KPI set now supports monitoring not only what happened, but where performance differs, which customer groups drive value, and where operational/risk attention may be required.</w:t>
            </w:r>
          </w:p>
        </w:tc>
      </w:tr>
    </w:tbl>
    <w:p>
      <w:pPr>
        <w:pStyle w:val="Heading1"/>
      </w:pPr>
      <w:r>
        <w:t>7. KPI Analysis Conclusion</w:t>
      </w:r>
    </w:p>
    <w:p>
      <w:r>
        <w:t>The Week 3 KPI framework provides a more complete view of FinTrust performance than portfolio totals alone. Core KPIs establish the overall customer, transaction, value, success and review position; trend KPIs reveal the February decline and March recovery; normalized customer KPIs show differences between segments and engagement levels; and operational/risk KPIs identify specific failure and review patterns. Together, these measures support the Week 3 objective of producing a more decision-oriented business intelligence solution.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57575"/>
        <w:sz w:val="16"/>
      </w:rPr>
      <w:t>FinTrust Digital Bank | Week 3 KPI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