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26"/>
        </w:rPr>
        <w:t>FINTRUST DIGITAL BANK</w:t>
      </w:r>
    </w:p>
    <w:p>
      <w:pPr>
        <w:pStyle w:val="Title"/>
        <w:jc w:val="center"/>
      </w:pPr>
      <w:r>
        <w:t>Week 3 - Part B: Advanced SQL Analysis</w:t>
      </w:r>
    </w:p>
    <w:p>
      <w:pPr>
        <w:jc w:val="center"/>
      </w:pPr>
      <w:r>
        <w:rPr>
          <w:b/>
          <w:sz w:val="22"/>
        </w:rPr>
        <w:t>Data Analytics Track</w:t>
      </w:r>
    </w:p>
    <w:tbl>
      <w:tblPr>
        <w:tblW w:type="auto" w:w="0"/>
        <w:jc w:val="center"/>
        <w:tblLayout w:type="fixed"/>
        <w:tblLook w:firstColumn="1" w:firstRow="1" w:lastColumn="0" w:lastRow="0" w:noHBand="0" w:noVBand="1" w:val="04A0"/>
      </w:tblPr>
      <w:tblGrid>
        <w:gridCol w:w="5083"/>
        <w:gridCol w:w="5083"/>
      </w:tblGrid>
      <w:tr>
        <w:trPr>
          <w:cantSplit/>
        </w:trPr>
        <w:tc>
          <w:tcPr>
            <w:tcW w:type="dxa" w:w="2880"/>
            <w:shd w:fill="D9EAF7"/>
            <w:tcMar>
              <w:top w:w="80" w:type="dxa"/>
              <w:start w:w="100" w:type="dxa"/>
              <w:bottom w:w="80" w:type="dxa"/>
              <w:end w:w="100" w:type="dxa"/>
            </w:tcMar>
          </w:tcPr>
          <w:p>
            <w:r>
              <w:rPr>
                <w:b/>
              </w:rPr>
              <w:t>Project</w:t>
            </w:r>
          </w:p>
        </w:tc>
        <w:tc>
          <w:tcPr>
            <w:tcW w:type="dxa" w:w="6768"/>
            <w:tcMar>
              <w:top w:w="80" w:type="dxa"/>
              <w:start w:w="100" w:type="dxa"/>
              <w:bottom w:w="80" w:type="dxa"/>
              <w:end w:w="100" w:type="dxa"/>
            </w:tcMar>
          </w:tcPr>
          <w:p>
            <w:r>
              <w:t>FinTrust Financial Intelligence &amp; Digital Banking Support Solution</w:t>
            </w:r>
          </w:p>
        </w:tc>
      </w:tr>
      <w:tr>
        <w:trPr>
          <w:cantSplit/>
        </w:trPr>
        <w:tc>
          <w:tcPr>
            <w:tcW w:type="dxa" w:w="2880"/>
            <w:shd w:fill="D9EAF7"/>
            <w:tcMar>
              <w:top w:w="80" w:type="dxa"/>
              <w:start w:w="100" w:type="dxa"/>
              <w:bottom w:w="80" w:type="dxa"/>
              <w:end w:w="100" w:type="dxa"/>
            </w:tcMar>
          </w:tcPr>
          <w:p>
            <w:r>
              <w:rPr>
                <w:b/>
              </w:rPr>
              <w:t>Prepared by</w:t>
            </w:r>
          </w:p>
        </w:tc>
        <w:tc>
          <w:tcPr>
            <w:tcW w:type="dxa" w:w="6768"/>
            <w:tcMar>
              <w:top w:w="80" w:type="dxa"/>
              <w:start w:w="100" w:type="dxa"/>
              <w:bottom w:w="80" w:type="dxa"/>
              <w:end w:w="100" w:type="dxa"/>
            </w:tcMar>
          </w:tcPr>
          <w:p>
            <w:r>
              <w:t>Eric Kamau</w:t>
            </w:r>
          </w:p>
        </w:tc>
      </w:tr>
      <w:tr>
        <w:trPr>
          <w:cantSplit/>
        </w:trPr>
        <w:tc>
          <w:tcPr>
            <w:tcW w:type="dxa" w:w="2880"/>
            <w:shd w:fill="D9EAF7"/>
            <w:tcMar>
              <w:top w:w="80" w:type="dxa"/>
              <w:start w:w="100" w:type="dxa"/>
              <w:bottom w:w="80" w:type="dxa"/>
              <w:end w:w="100" w:type="dxa"/>
            </w:tcMar>
          </w:tcPr>
          <w:p>
            <w:r>
              <w:rPr>
                <w:b/>
              </w:rPr>
              <w:t>Assessment period</w:t>
            </w:r>
          </w:p>
        </w:tc>
        <w:tc>
          <w:tcPr>
            <w:tcW w:type="dxa" w:w="6768"/>
            <w:tcMar>
              <w:top w:w="80" w:type="dxa"/>
              <w:start w:w="100" w:type="dxa"/>
              <w:bottom w:w="80" w:type="dxa"/>
              <w:end w:w="100" w:type="dxa"/>
            </w:tcMar>
          </w:tcPr>
          <w:p>
            <w:r>
              <w:t>Week 3 - Develop &amp; Integrate</w:t>
            </w:r>
          </w:p>
        </w:tc>
      </w:tr>
      <w:tr>
        <w:trPr>
          <w:cantSplit/>
        </w:trPr>
        <w:tc>
          <w:tcPr>
            <w:tcW w:type="dxa" w:w="2880"/>
            <w:shd w:fill="D9EAF7"/>
            <w:tcMar>
              <w:top w:w="80" w:type="dxa"/>
              <w:start w:w="100" w:type="dxa"/>
              <w:bottom w:w="80" w:type="dxa"/>
              <w:end w:w="100" w:type="dxa"/>
            </w:tcMar>
          </w:tcPr>
          <w:p>
            <w:r>
              <w:rPr>
                <w:b/>
              </w:rPr>
              <w:t>Purpose</w:t>
            </w:r>
          </w:p>
        </w:tc>
        <w:tc>
          <w:tcPr>
            <w:tcW w:type="dxa" w:w="6768"/>
            <w:tcMar>
              <w:top w:w="80" w:type="dxa"/>
              <w:start w:w="100" w:type="dxa"/>
              <w:bottom w:w="80" w:type="dxa"/>
              <w:end w:w="100" w:type="dxa"/>
            </w:tcMar>
          </w:tcPr>
          <w:p>
            <w:r>
              <w:t>Document the eight advanced SQL analyses completed in Week 3, including each business question, SQL technique, finding and business interpretation.</w:t>
            </w:r>
          </w:p>
        </w:tc>
      </w:tr>
    </w:tbl>
    <w:p>
      <w:pPr>
        <w:pStyle w:val="Heading1"/>
        <w:keepNext/>
      </w:pPr>
      <w:r>
        <w:t>1. Part B Overview</w:t>
      </w:r>
    </w:p>
    <w:p>
      <w:r>
        <w:rPr>
          <w:b/>
        </w:rPr>
        <w:t xml:space="preserve">Week 3 SQL development builds directly on the Week 2 descriptive analysis. </w:t>
      </w:r>
      <w:r>
        <w:t>The Week 2 queries established baseline customer, transaction, channel, status, international-activity and risk-review patterns. The Week 3 analyses deepen that work through customer-level ranking, normalized comparisons, month-over-month analysis, multi-dimensional failure analysis, value-based segmentation, engagement segmentation and conditional aggregation.</w:t>
      </w:r>
    </w:p>
    <w:p>
      <w:r>
        <w:rPr>
          <w:b/>
        </w:rPr>
        <w:t xml:space="preserve">Advanced SQL techniques used: </w:t>
      </w:r>
      <w:r>
        <w:t>CTEs, JOINs, GROUP BY, CASE expressions, aggregate functions, HAVING, DENSE_RANK(), LAG(), NTILE(), and conditional aggregation.</w:t>
      </w:r>
    </w:p>
    <w:p>
      <w:pPr>
        <w:pStyle w:val="Heading1"/>
        <w:keepNext/>
      </w:pPr>
      <w:r>
        <w:t>2. Analysis 1 - Customer Transaction Value and Frequency Ranking</w:t>
      </w:r>
    </w:p>
    <w:tbl>
      <w:tblPr>
        <w:tblW w:type="auto" w:w="0"/>
        <w:jc w:val="center"/>
        <w:tblLayout w:type="fixed"/>
        <w:tblLook w:firstColumn="1" w:firstRow="1" w:lastColumn="0" w:lastRow="0" w:noHBand="0" w:noVBand="1" w:val="04A0"/>
      </w:tblPr>
      <w:tblGrid>
        <w:gridCol w:w="5083"/>
        <w:gridCol w:w="5083"/>
      </w:tblGrid>
      <w:tr>
        <w:trPr>
          <w:cantSplit/>
        </w:trPr>
        <w:tc>
          <w:tcPr>
            <w:tcW w:type="dxa" w:w="2160"/>
            <w:vAlign w:val="top"/>
            <w:tcMar>
              <w:top w:w="80" w:type="dxa"/>
              <w:start w:w="100" w:type="dxa"/>
              <w:bottom w:w="80" w:type="dxa"/>
              <w:end w:w="100" w:type="dxa"/>
            </w:tcMar>
            <w:shd w:fill="D9EAF7"/>
          </w:tcPr>
          <w:p>
            <w:r>
              <w:rPr>
                <w:b/>
              </w:rPr>
              <w:t>Business Question</w:t>
            </w:r>
          </w:p>
        </w:tc>
        <w:tc>
          <w:tcPr>
            <w:tcW w:type="dxa" w:w="7920"/>
            <w:vAlign w:val="top"/>
            <w:tcMar>
              <w:top w:w="80" w:type="dxa"/>
              <w:start w:w="100" w:type="dxa"/>
              <w:bottom w:w="80" w:type="dxa"/>
              <w:end w:w="100" w:type="dxa"/>
            </w:tcMar>
          </w:tcPr>
          <w:p>
            <w:r>
              <w:t>Which customers generate the highest transaction value and which customers transact most frequently?</w:t>
            </w:r>
          </w:p>
        </w:tc>
      </w:tr>
      <w:tr>
        <w:trPr>
          <w:cantSplit/>
        </w:trPr>
        <w:tc>
          <w:tcPr>
            <w:tcW w:type="dxa" w:w="2160"/>
            <w:vAlign w:val="top"/>
            <w:tcMar>
              <w:top w:w="80" w:type="dxa"/>
              <w:start w:w="100" w:type="dxa"/>
              <w:bottom w:w="80" w:type="dxa"/>
              <w:end w:w="100" w:type="dxa"/>
            </w:tcMar>
            <w:shd w:fill="D9EAF7"/>
          </w:tcPr>
          <w:p>
            <w:r>
              <w:rPr>
                <w:b/>
              </w:rPr>
              <w:t>SQL Technique</w:t>
            </w:r>
          </w:p>
        </w:tc>
        <w:tc>
          <w:tcPr>
            <w:tcW w:type="dxa" w:w="7920"/>
            <w:vAlign w:val="top"/>
            <w:tcMar>
              <w:top w:w="80" w:type="dxa"/>
              <w:start w:w="100" w:type="dxa"/>
              <w:bottom w:w="80" w:type="dxa"/>
              <w:end w:w="100" w:type="dxa"/>
            </w:tcMar>
          </w:tcPr>
          <w:p>
            <w:r>
              <w:t>Two CTEs, aggregate functions, JOIN, and DENSE_RANK() window functions for separate value and frequency rankings.</w:t>
            </w:r>
          </w:p>
        </w:tc>
      </w:tr>
      <w:tr>
        <w:trPr>
          <w:cantSplit/>
        </w:trPr>
        <w:tc>
          <w:tcPr>
            <w:tcW w:type="dxa" w:w="2160"/>
            <w:vAlign w:val="top"/>
            <w:tcMar>
              <w:top w:w="80" w:type="dxa"/>
              <w:start w:w="100" w:type="dxa"/>
              <w:bottom w:w="80" w:type="dxa"/>
              <w:end w:w="100" w:type="dxa"/>
            </w:tcMar>
            <w:shd w:fill="D9EAF7"/>
          </w:tcPr>
          <w:p>
            <w:r>
              <w:rPr>
                <w:b/>
              </w:rPr>
              <w:t>Finding</w:t>
            </w:r>
          </w:p>
        </w:tc>
        <w:tc>
          <w:tcPr>
            <w:tcW w:type="dxa" w:w="7920"/>
            <w:vAlign w:val="top"/>
            <w:tcMar>
              <w:top w:w="80" w:type="dxa"/>
              <w:start w:w="100" w:type="dxa"/>
              <w:bottom w:w="80" w:type="dxa"/>
              <w:end w:w="100" w:type="dxa"/>
            </w:tcMar>
            <w:shd w:fill="F7FBFE"/>
          </w:tcPr>
          <w:p>
            <w:r>
              <w:t>The customer ranked first by transaction value was FT-C01075 (Ibrahim Mohammed, Everyday) with NGN 1,713,942.51 across 10 transactions, but his frequency rank was 11. FT-C00357 (Ada Garba, Everyday) ranked second by value with NGN 1,713,516.28 across 18 transactions and had a stronger frequency rank of 3. This shows that the customers generating the most transaction value are not always the customers transacting most often.</w:t>
            </w:r>
          </w:p>
        </w:tc>
      </w:tr>
      <w:tr>
        <w:trPr>
          <w:cantSplit/>
        </w:trPr>
        <w:tc>
          <w:tcPr>
            <w:tcW w:type="dxa" w:w="2160"/>
            <w:vAlign w:val="top"/>
            <w:tcMar>
              <w:top w:w="80" w:type="dxa"/>
              <w:start w:w="100" w:type="dxa"/>
              <w:bottom w:w="80" w:type="dxa"/>
              <w:end w:w="100" w:type="dxa"/>
            </w:tcMar>
            <w:shd w:fill="D9EAF7"/>
          </w:tcPr>
          <w:p>
            <w:r>
              <w:rPr>
                <w:b/>
              </w:rPr>
              <w:t>Business Interpretation</w:t>
            </w:r>
          </w:p>
        </w:tc>
        <w:tc>
          <w:tcPr>
            <w:tcW w:type="dxa" w:w="7920"/>
            <w:vAlign w:val="top"/>
            <w:tcMar>
              <w:top w:w="80" w:type="dxa"/>
              <w:start w:w="100" w:type="dxa"/>
              <w:bottom w:w="80" w:type="dxa"/>
              <w:end w:w="100" w:type="dxa"/>
            </w:tcMar>
          </w:tcPr>
          <w:p>
            <w:r>
              <w:t>FinTrust should evaluate customer importance using both monetary value and transaction frequency. High-value customers may reach large totals through fewer, larger transactions, while high-frequency customers may generate value through repeated activity.</w:t>
            </w:r>
          </w:p>
        </w:tc>
      </w:tr>
    </w:tbl>
    <w:p/>
    <w:p>
      <w:pPr>
        <w:pStyle w:val="Heading1"/>
        <w:keepNext/>
      </w:pPr>
      <w:r>
        <w:t>3. Analysis 2 - Normalized Customer Segment Performance</w:t>
      </w:r>
    </w:p>
    <w:tbl>
      <w:tblPr>
        <w:tblW w:type="auto" w:w="0"/>
        <w:jc w:val="center"/>
        <w:tblLayout w:type="fixed"/>
        <w:tblLook w:firstColumn="1" w:firstRow="1" w:lastColumn="0" w:lastRow="0" w:noHBand="0" w:noVBand="1" w:val="04A0"/>
      </w:tblPr>
      <w:tblGrid>
        <w:gridCol w:w="5083"/>
        <w:gridCol w:w="5083"/>
      </w:tblGrid>
      <w:tr>
        <w:trPr>
          <w:cantSplit/>
        </w:trPr>
        <w:tc>
          <w:tcPr>
            <w:tcW w:type="dxa" w:w="2160"/>
            <w:vAlign w:val="top"/>
            <w:tcMar>
              <w:top w:w="80" w:type="dxa"/>
              <w:start w:w="100" w:type="dxa"/>
              <w:bottom w:w="80" w:type="dxa"/>
              <w:end w:w="100" w:type="dxa"/>
            </w:tcMar>
            <w:shd w:fill="D9EAF7"/>
          </w:tcPr>
          <w:p>
            <w:r>
              <w:rPr>
                <w:b/>
              </w:rPr>
              <w:t>Business Question</w:t>
            </w:r>
          </w:p>
        </w:tc>
        <w:tc>
          <w:tcPr>
            <w:tcW w:type="dxa" w:w="7920"/>
            <w:vAlign w:val="top"/>
            <w:tcMar>
              <w:top w:w="80" w:type="dxa"/>
              <w:start w:w="100" w:type="dxa"/>
              <w:bottom w:w="80" w:type="dxa"/>
              <w:end w:w="100" w:type="dxa"/>
            </w:tcMar>
          </w:tcPr>
          <w:p>
            <w:r>
              <w:t>Which customer segments generate the highest transaction activity and value per customer after accounting for segment size?</w:t>
            </w:r>
          </w:p>
        </w:tc>
      </w:tr>
      <w:tr>
        <w:trPr>
          <w:cantSplit/>
        </w:trPr>
        <w:tc>
          <w:tcPr>
            <w:tcW w:type="dxa" w:w="2160"/>
            <w:vAlign w:val="top"/>
            <w:tcMar>
              <w:top w:w="80" w:type="dxa"/>
              <w:start w:w="100" w:type="dxa"/>
              <w:bottom w:w="80" w:type="dxa"/>
              <w:end w:w="100" w:type="dxa"/>
            </w:tcMar>
            <w:shd w:fill="D9EAF7"/>
          </w:tcPr>
          <w:p>
            <w:r>
              <w:rPr>
                <w:b/>
              </w:rPr>
              <w:t>SQL Technique</w:t>
            </w:r>
          </w:p>
        </w:tc>
        <w:tc>
          <w:tcPr>
            <w:tcW w:type="dxa" w:w="7920"/>
            <w:vAlign w:val="top"/>
            <w:tcMar>
              <w:top w:w="80" w:type="dxa"/>
              <w:start w:w="100" w:type="dxa"/>
              <w:bottom w:w="80" w:type="dxa"/>
              <w:end w:w="100" w:type="dxa"/>
            </w:tcMar>
          </w:tcPr>
          <w:p>
            <w:r>
              <w:t>CTE, JOIN, GROUP BY, aggregate functions, and normalized per-customer calculations.</w:t>
            </w:r>
          </w:p>
        </w:tc>
      </w:tr>
      <w:tr>
        <w:trPr>
          <w:cantSplit/>
        </w:trPr>
        <w:tc>
          <w:tcPr>
            <w:tcW w:type="dxa" w:w="2160"/>
            <w:vAlign w:val="top"/>
            <w:tcMar>
              <w:top w:w="80" w:type="dxa"/>
              <w:start w:w="100" w:type="dxa"/>
              <w:bottom w:w="80" w:type="dxa"/>
              <w:end w:w="100" w:type="dxa"/>
            </w:tcMar>
            <w:shd w:fill="D9EAF7"/>
          </w:tcPr>
          <w:p>
            <w:r>
              <w:rPr>
                <w:b/>
              </w:rPr>
              <w:t>Finding</w:t>
            </w:r>
          </w:p>
        </w:tc>
        <w:tc>
          <w:tcPr>
            <w:tcW w:type="dxa" w:w="7920"/>
            <w:vAlign w:val="top"/>
            <w:tcMar>
              <w:top w:w="80" w:type="dxa"/>
              <w:start w:w="100" w:type="dxa"/>
              <w:bottom w:w="80" w:type="dxa"/>
              <w:end w:w="100" w:type="dxa"/>
            </w:tcMar>
            <w:shd w:fill="F7FBFE"/>
          </w:tcPr>
          <w:p>
            <w:r>
              <w:t>Everyday customers produced the highest total transaction activity because they were the largest segment, with 711 customers and 5,644 transactions. After normalization, Student customers recorded the highest transaction frequency at 8.23 transactions per customer, while SME customers generated the highest transaction value per customer at NGN 387,923.02. Premium customers averaged 8.00 transactions and NGN 365,258.29 per customer.</w:t>
            </w:r>
          </w:p>
        </w:tc>
      </w:tr>
      <w:tr>
        <w:trPr>
          <w:cantSplit/>
        </w:trPr>
        <w:tc>
          <w:tcPr>
            <w:tcW w:type="dxa" w:w="2160"/>
            <w:vAlign w:val="top"/>
            <w:tcMar>
              <w:top w:w="80" w:type="dxa"/>
              <w:start w:w="100" w:type="dxa"/>
              <w:bottom w:w="80" w:type="dxa"/>
              <w:end w:w="100" w:type="dxa"/>
            </w:tcMar>
            <w:shd w:fill="D9EAF7"/>
          </w:tcPr>
          <w:p>
            <w:r>
              <w:rPr>
                <w:b/>
              </w:rPr>
              <w:t>Business Interpretation</w:t>
            </w:r>
          </w:p>
        </w:tc>
        <w:tc>
          <w:tcPr>
            <w:tcW w:type="dxa" w:w="7920"/>
            <w:vAlign w:val="top"/>
            <w:tcMar>
              <w:top w:w="80" w:type="dxa"/>
              <w:start w:w="100" w:type="dxa"/>
              <w:bottom w:w="80" w:type="dxa"/>
              <w:end w:w="100" w:type="dxa"/>
            </w:tcMar>
          </w:tcPr>
          <w:p>
            <w:r>
              <w:t>Raw segment totals can be influenced by segment population. Per-customer measures provide a fairer comparison and show that smaller segments can have stronger customer-level value or activity than the largest segment.</w:t>
            </w:r>
          </w:p>
        </w:tc>
      </w:tr>
    </w:tbl>
    <w:p/>
    <w:p>
      <w:pPr>
        <w:pStyle w:val="Heading1"/>
        <w:keepNext/>
      </w:pPr>
      <w:r>
        <w:t>4. Analysis 3 - Month-over-Month Transaction Growth</w:t>
      </w:r>
    </w:p>
    <w:tbl>
      <w:tblPr>
        <w:tblW w:type="auto" w:w="0"/>
        <w:jc w:val="center"/>
        <w:tblLayout w:type="fixed"/>
        <w:tblLook w:firstColumn="1" w:firstRow="1" w:lastColumn="0" w:lastRow="0" w:noHBand="0" w:noVBand="1" w:val="04A0"/>
      </w:tblPr>
      <w:tblGrid>
        <w:gridCol w:w="5083"/>
        <w:gridCol w:w="5083"/>
      </w:tblGrid>
      <w:tr>
        <w:trPr>
          <w:cantSplit/>
        </w:trPr>
        <w:tc>
          <w:tcPr>
            <w:tcW w:type="dxa" w:w="2160"/>
            <w:vAlign w:val="top"/>
            <w:tcMar>
              <w:top w:w="80" w:type="dxa"/>
              <w:start w:w="100" w:type="dxa"/>
              <w:bottom w:w="80" w:type="dxa"/>
              <w:end w:w="100" w:type="dxa"/>
            </w:tcMar>
            <w:shd w:fill="D9EAF7"/>
          </w:tcPr>
          <w:p>
            <w:r>
              <w:rPr>
                <w:b/>
              </w:rPr>
              <w:t>Business Question</w:t>
            </w:r>
          </w:p>
        </w:tc>
        <w:tc>
          <w:tcPr>
            <w:tcW w:type="dxa" w:w="7920"/>
            <w:vAlign w:val="top"/>
            <w:tcMar>
              <w:top w:w="80" w:type="dxa"/>
              <w:start w:w="100" w:type="dxa"/>
              <w:bottom w:w="80" w:type="dxa"/>
              <w:end w:w="100" w:type="dxa"/>
            </w:tcMar>
          </w:tcPr>
          <w:p>
            <w:r>
              <w:t>How did transaction volume and transaction value change month-over-month from January to March 2026?</w:t>
            </w:r>
          </w:p>
        </w:tc>
      </w:tr>
      <w:tr>
        <w:trPr>
          <w:cantSplit/>
        </w:trPr>
        <w:tc>
          <w:tcPr>
            <w:tcW w:type="dxa" w:w="2160"/>
            <w:vAlign w:val="top"/>
            <w:tcMar>
              <w:top w:w="80" w:type="dxa"/>
              <w:start w:w="100" w:type="dxa"/>
              <w:bottom w:w="80" w:type="dxa"/>
              <w:end w:w="100" w:type="dxa"/>
            </w:tcMar>
            <w:shd w:fill="D9EAF7"/>
          </w:tcPr>
          <w:p>
            <w:r>
              <w:rPr>
                <w:b/>
              </w:rPr>
              <w:t>SQL Technique</w:t>
            </w:r>
          </w:p>
        </w:tc>
        <w:tc>
          <w:tcPr>
            <w:tcW w:type="dxa" w:w="7920"/>
            <w:vAlign w:val="top"/>
            <w:tcMar>
              <w:top w:w="80" w:type="dxa"/>
              <w:start w:w="100" w:type="dxa"/>
              <w:bottom w:w="80" w:type="dxa"/>
              <w:end w:w="100" w:type="dxa"/>
            </w:tcMar>
          </w:tcPr>
          <w:p>
            <w:r>
              <w:t>CTEs, monthly aggregation, LAG() window function, and percentage-change calculations.</w:t>
            </w:r>
          </w:p>
        </w:tc>
      </w:tr>
      <w:tr>
        <w:trPr>
          <w:cantSplit/>
        </w:trPr>
        <w:tc>
          <w:tcPr>
            <w:tcW w:type="dxa" w:w="2160"/>
            <w:vAlign w:val="top"/>
            <w:tcMar>
              <w:top w:w="80" w:type="dxa"/>
              <w:start w:w="100" w:type="dxa"/>
              <w:bottom w:w="80" w:type="dxa"/>
              <w:end w:w="100" w:type="dxa"/>
            </w:tcMar>
            <w:shd w:fill="D9EAF7"/>
          </w:tcPr>
          <w:p>
            <w:r>
              <w:rPr>
                <w:b/>
              </w:rPr>
              <w:t>Finding</w:t>
            </w:r>
          </w:p>
        </w:tc>
        <w:tc>
          <w:tcPr>
            <w:tcW w:type="dxa" w:w="7920"/>
            <w:vAlign w:val="top"/>
            <w:tcMar>
              <w:top w:w="80" w:type="dxa"/>
              <w:start w:w="100" w:type="dxa"/>
              <w:bottom w:w="80" w:type="dxa"/>
              <w:end w:w="100" w:type="dxa"/>
            </w:tcMar>
            <w:shd w:fill="F7FBFE"/>
          </w:tcPr>
          <w:p>
            <w:r>
              <w:t>January recorded 4,133 transactions worth NGN 188.49M. In February, volume fell to 3,734 transactions, a 9.65% decrease, while transaction value declined 6.74% to NGN 175.79M. March recovered to 4,133 transactions, a 10.69% month-over-month increase, while value rose 11.61% to NGN 196.20M.</w:t>
            </w:r>
          </w:p>
        </w:tc>
      </w:tr>
      <w:tr>
        <w:trPr>
          <w:cantSplit/>
        </w:trPr>
        <w:tc>
          <w:tcPr>
            <w:tcW w:type="dxa" w:w="2160"/>
            <w:vAlign w:val="top"/>
            <w:tcMar>
              <w:top w:w="80" w:type="dxa"/>
              <w:start w:w="100" w:type="dxa"/>
              <w:bottom w:w="80" w:type="dxa"/>
              <w:end w:w="100" w:type="dxa"/>
            </w:tcMar>
            <w:shd w:fill="D9EAF7"/>
          </w:tcPr>
          <w:p>
            <w:r>
              <w:rPr>
                <w:b/>
              </w:rPr>
              <w:t>Business Interpretation</w:t>
            </w:r>
          </w:p>
        </w:tc>
        <w:tc>
          <w:tcPr>
            <w:tcW w:type="dxa" w:w="7920"/>
            <w:vAlign w:val="top"/>
            <w:tcMar>
              <w:top w:w="80" w:type="dxa"/>
              <w:start w:w="100" w:type="dxa"/>
              <w:bottom w:w="80" w:type="dxa"/>
              <w:end w:w="100" w:type="dxa"/>
            </w:tcMar>
          </w:tcPr>
          <w:p>
            <w:r>
              <w:t>Transaction activity weakened in February and recovered strongly in March. March returned to January transaction volume while generating a higher total value, indicating that transaction value strengthened during the recovery.</w:t>
            </w:r>
          </w:p>
        </w:tc>
      </w:tr>
    </w:tbl>
    <w:p/>
    <w:p>
      <w:pPr>
        <w:pStyle w:val="Heading1"/>
        <w:keepNext/>
      </w:pPr>
      <w:r>
        <w:t>5. Analysis 4 - Failure Rate by Channel and Transaction Type</w:t>
      </w:r>
    </w:p>
    <w:tbl>
      <w:tblPr>
        <w:tblW w:type="auto" w:w="0"/>
        <w:jc w:val="center"/>
        <w:tblLayout w:type="fixed"/>
        <w:tblLook w:firstColumn="1" w:firstRow="1" w:lastColumn="0" w:lastRow="0" w:noHBand="0" w:noVBand="1" w:val="04A0"/>
      </w:tblPr>
      <w:tblGrid>
        <w:gridCol w:w="5083"/>
        <w:gridCol w:w="5083"/>
      </w:tblGrid>
      <w:tr>
        <w:trPr>
          <w:cantSplit/>
        </w:trPr>
        <w:tc>
          <w:tcPr>
            <w:tcW w:type="dxa" w:w="2160"/>
            <w:vAlign w:val="top"/>
            <w:tcMar>
              <w:top w:w="80" w:type="dxa"/>
              <w:start w:w="100" w:type="dxa"/>
              <w:bottom w:w="80" w:type="dxa"/>
              <w:end w:w="100" w:type="dxa"/>
            </w:tcMar>
            <w:shd w:fill="D9EAF7"/>
          </w:tcPr>
          <w:p>
            <w:r>
              <w:rPr>
                <w:b/>
              </w:rPr>
              <w:t>Business Question</w:t>
            </w:r>
          </w:p>
        </w:tc>
        <w:tc>
          <w:tcPr>
            <w:tcW w:type="dxa" w:w="7920"/>
            <w:vAlign w:val="top"/>
            <w:tcMar>
              <w:top w:w="80" w:type="dxa"/>
              <w:start w:w="100" w:type="dxa"/>
              <w:bottom w:w="80" w:type="dxa"/>
              <w:end w:w="100" w:type="dxa"/>
            </w:tcMar>
          </w:tcPr>
          <w:p>
            <w:r>
              <w:t>Which banking channel and transaction-type combinations have the highest transaction failure rates?</w:t>
            </w:r>
          </w:p>
        </w:tc>
      </w:tr>
      <w:tr>
        <w:trPr>
          <w:cantSplit/>
        </w:trPr>
        <w:tc>
          <w:tcPr>
            <w:tcW w:type="dxa" w:w="2160"/>
            <w:vAlign w:val="top"/>
            <w:tcMar>
              <w:top w:w="80" w:type="dxa"/>
              <w:start w:w="100" w:type="dxa"/>
              <w:bottom w:w="80" w:type="dxa"/>
              <w:end w:w="100" w:type="dxa"/>
            </w:tcMar>
            <w:shd w:fill="D9EAF7"/>
          </w:tcPr>
          <w:p>
            <w:r>
              <w:rPr>
                <w:b/>
              </w:rPr>
              <w:t>SQL Technique</w:t>
            </w:r>
          </w:p>
        </w:tc>
        <w:tc>
          <w:tcPr>
            <w:tcW w:type="dxa" w:w="7920"/>
            <w:vAlign w:val="top"/>
            <w:tcMar>
              <w:top w:w="80" w:type="dxa"/>
              <w:start w:w="100" w:type="dxa"/>
              <w:bottom w:w="80" w:type="dxa"/>
              <w:end w:w="100" w:type="dxa"/>
            </w:tcMar>
          </w:tcPr>
          <w:p>
            <w:r>
              <w:t>CASE-based conditional aggregation, GROUP BY across two dimensions, HAVING, and rate calculations.</w:t>
            </w:r>
          </w:p>
        </w:tc>
      </w:tr>
      <w:tr>
        <w:trPr>
          <w:cantSplit/>
        </w:trPr>
        <w:tc>
          <w:tcPr>
            <w:tcW w:type="dxa" w:w="2160"/>
            <w:vAlign w:val="top"/>
            <w:tcMar>
              <w:top w:w="80" w:type="dxa"/>
              <w:start w:w="100" w:type="dxa"/>
              <w:bottom w:w="80" w:type="dxa"/>
              <w:end w:w="100" w:type="dxa"/>
            </w:tcMar>
            <w:shd w:fill="D9EAF7"/>
          </w:tcPr>
          <w:p>
            <w:r>
              <w:rPr>
                <w:b/>
              </w:rPr>
              <w:t>Finding</w:t>
            </w:r>
          </w:p>
        </w:tc>
        <w:tc>
          <w:tcPr>
            <w:tcW w:type="dxa" w:w="7920"/>
            <w:vAlign w:val="top"/>
            <w:tcMar>
              <w:top w:w="80" w:type="dxa"/>
              <w:start w:w="100" w:type="dxa"/>
              <w:bottom w:w="80" w:type="dxa"/>
              <w:end w:w="100" w:type="dxa"/>
            </w:tcMar>
            <w:shd w:fill="F7FBFE"/>
          </w:tcPr>
          <w:p>
            <w:r>
              <w:t>POS Bill Payment had the highest failure rate at 7.22%, followed closely by USSD Transfer at 7.20%. POS Deposit recorded 6.34%, Web Bill Payment 6.28%, and Web Airtime/Data 6.25%. However, Mobile App Transfer produced the largest absolute number of failed transactions (93) despite a lower failure rate of 6.09%, because it handled a much larger transaction volume.</w:t>
            </w:r>
          </w:p>
        </w:tc>
      </w:tr>
      <w:tr>
        <w:trPr>
          <w:cantSplit/>
        </w:trPr>
        <w:tc>
          <w:tcPr>
            <w:tcW w:type="dxa" w:w="2160"/>
            <w:vAlign w:val="top"/>
            <w:tcMar>
              <w:top w:w="80" w:type="dxa"/>
              <w:start w:w="100" w:type="dxa"/>
              <w:bottom w:w="80" w:type="dxa"/>
              <w:end w:w="100" w:type="dxa"/>
            </w:tcMar>
            <w:shd w:fill="D9EAF7"/>
          </w:tcPr>
          <w:p>
            <w:r>
              <w:rPr>
                <w:b/>
              </w:rPr>
              <w:t>Business Interpretation</w:t>
            </w:r>
          </w:p>
        </w:tc>
        <w:tc>
          <w:tcPr>
            <w:tcW w:type="dxa" w:w="7920"/>
            <w:vAlign w:val="top"/>
            <w:tcMar>
              <w:top w:w="80" w:type="dxa"/>
              <w:start w:w="100" w:type="dxa"/>
              <w:bottom w:w="80" w:type="dxa"/>
              <w:end w:w="100" w:type="dxa"/>
            </w:tcMar>
          </w:tcPr>
          <w:p>
            <w:r>
              <w:t>FinTrust should assess transaction-performance issues using both failure rate and failure count. High rates identify combinations with proportionally weaker performance, while high failure counts identify combinations generating the greatest operational burden.</w:t>
            </w:r>
          </w:p>
        </w:tc>
      </w:tr>
    </w:tbl>
    <w:p/>
    <w:p>
      <w:pPr>
        <w:pStyle w:val="Heading1"/>
        <w:keepNext/>
      </w:pPr>
      <w:r>
        <w:t>6. Analysis 5 - High-Value Transaction Behaviour</w:t>
      </w:r>
    </w:p>
    <w:tbl>
      <w:tblPr>
        <w:tblW w:type="auto" w:w="0"/>
        <w:jc w:val="center"/>
        <w:tblLayout w:type="fixed"/>
        <w:tblLook w:firstColumn="1" w:firstRow="1" w:lastColumn="0" w:lastRow="0" w:noHBand="0" w:noVBand="1" w:val="04A0"/>
      </w:tblPr>
      <w:tblGrid>
        <w:gridCol w:w="5083"/>
        <w:gridCol w:w="5083"/>
      </w:tblGrid>
      <w:tr>
        <w:trPr>
          <w:cantSplit/>
        </w:trPr>
        <w:tc>
          <w:tcPr>
            <w:tcW w:type="dxa" w:w="2160"/>
            <w:vAlign w:val="top"/>
            <w:tcMar>
              <w:top w:w="80" w:type="dxa"/>
              <w:start w:w="100" w:type="dxa"/>
              <w:bottom w:w="80" w:type="dxa"/>
              <w:end w:w="100" w:type="dxa"/>
            </w:tcMar>
            <w:shd w:fill="D9EAF7"/>
          </w:tcPr>
          <w:p>
            <w:r>
              <w:rPr>
                <w:b/>
              </w:rPr>
              <w:t>Business Question</w:t>
            </w:r>
          </w:p>
        </w:tc>
        <w:tc>
          <w:tcPr>
            <w:tcW w:type="dxa" w:w="7920"/>
            <w:vAlign w:val="top"/>
            <w:tcMar>
              <w:top w:w="80" w:type="dxa"/>
              <w:start w:w="100" w:type="dxa"/>
              <w:bottom w:w="80" w:type="dxa"/>
              <w:end w:w="100" w:type="dxa"/>
            </w:tcMar>
          </w:tcPr>
          <w:p>
            <w:r>
              <w:t>Do the top 10% highest-value transactions differ from other transactions in success and risk-review patterns?</w:t>
            </w:r>
          </w:p>
        </w:tc>
      </w:tr>
      <w:tr>
        <w:trPr>
          <w:cantSplit/>
        </w:trPr>
        <w:tc>
          <w:tcPr>
            <w:tcW w:type="dxa" w:w="2160"/>
            <w:vAlign w:val="top"/>
            <w:tcMar>
              <w:top w:w="80" w:type="dxa"/>
              <w:start w:w="100" w:type="dxa"/>
              <w:bottom w:w="80" w:type="dxa"/>
              <w:end w:w="100" w:type="dxa"/>
            </w:tcMar>
            <w:shd w:fill="D9EAF7"/>
          </w:tcPr>
          <w:p>
            <w:r>
              <w:rPr>
                <w:b/>
              </w:rPr>
              <w:t>SQL Technique</w:t>
            </w:r>
          </w:p>
        </w:tc>
        <w:tc>
          <w:tcPr>
            <w:tcW w:type="dxa" w:w="7920"/>
            <w:vAlign w:val="top"/>
            <w:tcMar>
              <w:top w:w="80" w:type="dxa"/>
              <w:start w:w="100" w:type="dxa"/>
              <w:bottom w:w="80" w:type="dxa"/>
              <w:end w:w="100" w:type="dxa"/>
            </w:tcMar>
          </w:tcPr>
          <w:p>
            <w:r>
              <w:t>CTEs, NTILE(10) window function, CASE grouping, and conditional aggregation.</w:t>
            </w:r>
          </w:p>
        </w:tc>
      </w:tr>
      <w:tr>
        <w:trPr>
          <w:cantSplit/>
        </w:trPr>
        <w:tc>
          <w:tcPr>
            <w:tcW w:type="dxa" w:w="2160"/>
            <w:vAlign w:val="top"/>
            <w:tcMar>
              <w:top w:w="80" w:type="dxa"/>
              <w:start w:w="100" w:type="dxa"/>
              <w:bottom w:w="80" w:type="dxa"/>
              <w:end w:w="100" w:type="dxa"/>
            </w:tcMar>
            <w:shd w:fill="D9EAF7"/>
          </w:tcPr>
          <w:p>
            <w:r>
              <w:rPr>
                <w:b/>
              </w:rPr>
              <w:t>Finding</w:t>
            </w:r>
          </w:p>
        </w:tc>
        <w:tc>
          <w:tcPr>
            <w:tcW w:type="dxa" w:w="7920"/>
            <w:vAlign w:val="top"/>
            <w:tcMar>
              <w:top w:w="80" w:type="dxa"/>
              <w:start w:w="100" w:type="dxa"/>
              <w:bottom w:w="80" w:type="dxa"/>
              <w:end w:w="100" w:type="dxa"/>
            </w:tcMar>
            <w:shd w:fill="F7FBFE"/>
          </w:tcPr>
          <w:p>
            <w:r>
              <w:t>The top 10% highest-value transactions had an average transaction value of NGN 262,272.75 and a success rate of 91.42%. The remaining 90% averaged NGN 22,754.64 with a success rate of 90.36%. The major difference was risk review: 36.00% of the top 10% high-value transactions were selected for review compared with 17.78% of the remaining transactions.</w:t>
            </w:r>
          </w:p>
        </w:tc>
      </w:tr>
      <w:tr>
        <w:trPr>
          <w:cantSplit/>
        </w:trPr>
        <w:tc>
          <w:tcPr>
            <w:tcW w:type="dxa" w:w="2160"/>
            <w:vAlign w:val="top"/>
            <w:tcMar>
              <w:top w:w="80" w:type="dxa"/>
              <w:start w:w="100" w:type="dxa"/>
              <w:bottom w:w="80" w:type="dxa"/>
              <w:end w:w="100" w:type="dxa"/>
            </w:tcMar>
            <w:shd w:fill="D9EAF7"/>
          </w:tcPr>
          <w:p>
            <w:r>
              <w:rPr>
                <w:b/>
              </w:rPr>
              <w:t>Business Interpretation</w:t>
            </w:r>
          </w:p>
        </w:tc>
        <w:tc>
          <w:tcPr>
            <w:tcW w:type="dxa" w:w="7920"/>
            <w:vAlign w:val="top"/>
            <w:tcMar>
              <w:top w:w="80" w:type="dxa"/>
              <w:start w:w="100" w:type="dxa"/>
              <w:bottom w:w="80" w:type="dxa"/>
              <w:end w:w="100" w:type="dxa"/>
            </w:tcMar>
          </w:tcPr>
          <w:p>
            <w:r>
              <w:t>High transaction value is strongly associated with risk-review selection, but not with lower transaction success. Risk-review selection should therefore be treated as an additional review signal rather than evidence of transaction failure or confirmed fraud.</w:t>
            </w:r>
          </w:p>
        </w:tc>
      </w:tr>
    </w:tbl>
    <w:p/>
    <w:p>
      <w:pPr>
        <w:pStyle w:val="Heading1"/>
        <w:keepNext/>
      </w:pPr>
      <w:r>
        <w:t>7. Analysis 6 - Digital Engagement and Transaction Behaviour</w:t>
      </w:r>
    </w:p>
    <w:tbl>
      <w:tblPr>
        <w:tblW w:type="auto" w:w="0"/>
        <w:jc w:val="center"/>
        <w:tblLayout w:type="fixed"/>
        <w:tblLook w:firstColumn="1" w:firstRow="1" w:lastColumn="0" w:lastRow="0" w:noHBand="0" w:noVBand="1" w:val="04A0"/>
      </w:tblPr>
      <w:tblGrid>
        <w:gridCol w:w="5083"/>
        <w:gridCol w:w="5083"/>
      </w:tblGrid>
      <w:tr>
        <w:trPr>
          <w:cantSplit/>
        </w:trPr>
        <w:tc>
          <w:tcPr>
            <w:tcW w:type="dxa" w:w="2160"/>
            <w:vAlign w:val="top"/>
            <w:tcMar>
              <w:top w:w="80" w:type="dxa"/>
              <w:start w:w="100" w:type="dxa"/>
              <w:bottom w:w="80" w:type="dxa"/>
              <w:end w:w="100" w:type="dxa"/>
            </w:tcMar>
            <w:shd w:fill="D9EAF7"/>
          </w:tcPr>
          <w:p>
            <w:r>
              <w:rPr>
                <w:b/>
              </w:rPr>
              <w:t>Business Question</w:t>
            </w:r>
          </w:p>
        </w:tc>
        <w:tc>
          <w:tcPr>
            <w:tcW w:type="dxa" w:w="7920"/>
            <w:vAlign w:val="top"/>
            <w:tcMar>
              <w:top w:w="80" w:type="dxa"/>
              <w:start w:w="100" w:type="dxa"/>
              <w:bottom w:w="80" w:type="dxa"/>
              <w:end w:w="100" w:type="dxa"/>
            </w:tcMar>
          </w:tcPr>
          <w:p>
            <w:r>
              <w:t>How does customer digital engagement relate to transaction frequency and transaction value?</w:t>
            </w:r>
          </w:p>
        </w:tc>
      </w:tr>
      <w:tr>
        <w:trPr>
          <w:cantSplit/>
        </w:trPr>
        <w:tc>
          <w:tcPr>
            <w:tcW w:type="dxa" w:w="2160"/>
            <w:vAlign w:val="top"/>
            <w:tcMar>
              <w:top w:w="80" w:type="dxa"/>
              <w:start w:w="100" w:type="dxa"/>
              <w:bottom w:w="80" w:type="dxa"/>
              <w:end w:w="100" w:type="dxa"/>
            </w:tcMar>
            <w:shd w:fill="D9EAF7"/>
          </w:tcPr>
          <w:p>
            <w:r>
              <w:rPr>
                <w:b/>
              </w:rPr>
              <w:t>SQL Technique</w:t>
            </w:r>
          </w:p>
        </w:tc>
        <w:tc>
          <w:tcPr>
            <w:tcW w:type="dxa" w:w="7920"/>
            <w:vAlign w:val="top"/>
            <w:tcMar>
              <w:top w:w="80" w:type="dxa"/>
              <w:start w:w="100" w:type="dxa"/>
              <w:bottom w:w="80" w:type="dxa"/>
              <w:end w:w="100" w:type="dxa"/>
            </w:tcMar>
          </w:tcPr>
          <w:p>
            <w:r>
              <w:t>CTE, customer-to-transaction JOIN, CASE-based engagement segmentation, customer-level aggregation, and group averages.</w:t>
            </w:r>
          </w:p>
        </w:tc>
      </w:tr>
      <w:tr>
        <w:trPr>
          <w:cantSplit/>
        </w:trPr>
        <w:tc>
          <w:tcPr>
            <w:tcW w:type="dxa" w:w="2160"/>
            <w:vAlign w:val="top"/>
            <w:tcMar>
              <w:top w:w="80" w:type="dxa"/>
              <w:start w:w="100" w:type="dxa"/>
              <w:bottom w:w="80" w:type="dxa"/>
              <w:end w:w="100" w:type="dxa"/>
            </w:tcMar>
            <w:shd w:fill="D9EAF7"/>
          </w:tcPr>
          <w:p>
            <w:r>
              <w:rPr>
                <w:b/>
              </w:rPr>
              <w:t>Finding</w:t>
            </w:r>
          </w:p>
        </w:tc>
        <w:tc>
          <w:tcPr>
            <w:tcW w:type="dxa" w:w="7920"/>
            <w:vAlign w:val="top"/>
            <w:tcMar>
              <w:top w:w="80" w:type="dxa"/>
              <w:start w:w="100" w:type="dxa"/>
              <w:bottom w:w="80" w:type="dxa"/>
              <w:end w:w="100" w:type="dxa"/>
            </w:tcMar>
            <w:shd w:fill="F7FBFE"/>
          </w:tcPr>
          <w:p>
            <w:r>
              <w:t>High-engagement customers recorded the highest average transaction frequency at 8.12 transactions per customer and the highest average transaction value per customer at NGN 379,724.15. Medium-engagement customers averaged 7.89 transactions and NGN 369,721.08 per customer, while low-engagement customers averaged 7.97 transactions and NGN 359,967.31.</w:t>
            </w:r>
          </w:p>
        </w:tc>
      </w:tr>
      <w:tr>
        <w:trPr>
          <w:cantSplit/>
        </w:trPr>
        <w:tc>
          <w:tcPr>
            <w:tcW w:type="dxa" w:w="2160"/>
            <w:vAlign w:val="top"/>
            <w:tcMar>
              <w:top w:w="80" w:type="dxa"/>
              <w:start w:w="100" w:type="dxa"/>
              <w:bottom w:w="80" w:type="dxa"/>
              <w:end w:w="100" w:type="dxa"/>
            </w:tcMar>
            <w:shd w:fill="D9EAF7"/>
          </w:tcPr>
          <w:p>
            <w:r>
              <w:rPr>
                <w:b/>
              </w:rPr>
              <w:t>Business Interpretation</w:t>
            </w:r>
          </w:p>
        </w:tc>
        <w:tc>
          <w:tcPr>
            <w:tcW w:type="dxa" w:w="7920"/>
            <w:vAlign w:val="top"/>
            <w:tcMar>
              <w:top w:w="80" w:type="dxa"/>
              <w:start w:w="100" w:type="dxa"/>
              <w:bottom w:w="80" w:type="dxa"/>
              <w:end w:w="100" w:type="dxa"/>
            </w:tcMar>
          </w:tcPr>
          <w:p>
            <w:r>
              <w:t>Higher digital engagement is associated with slightly stronger transaction activity and value. The differences are moderate, so engagement should be interpreted as one contributing customer characteristic rather than the sole explanation for transaction behaviour.</w:t>
            </w:r>
          </w:p>
        </w:tc>
      </w:tr>
    </w:tbl>
    <w:p/>
    <w:p>
      <w:pPr>
        <w:pStyle w:val="Heading1"/>
        <w:keepNext/>
      </w:pPr>
      <w:r>
        <w:t>8. Analysis 7 - Risk Review by Transaction Amount Band</w:t>
      </w:r>
    </w:p>
    <w:tbl>
      <w:tblPr>
        <w:tblW w:type="auto" w:w="0"/>
        <w:jc w:val="center"/>
        <w:tblLayout w:type="fixed"/>
        <w:tblLook w:firstColumn="1" w:firstRow="1" w:lastColumn="0" w:lastRow="0" w:noHBand="0" w:noVBand="1" w:val="04A0"/>
      </w:tblPr>
      <w:tblGrid>
        <w:gridCol w:w="5083"/>
        <w:gridCol w:w="5083"/>
      </w:tblGrid>
      <w:tr>
        <w:trPr>
          <w:cantSplit/>
        </w:trPr>
        <w:tc>
          <w:tcPr>
            <w:tcW w:type="dxa" w:w="2160"/>
            <w:vAlign w:val="top"/>
            <w:tcMar>
              <w:top w:w="80" w:type="dxa"/>
              <w:start w:w="100" w:type="dxa"/>
              <w:bottom w:w="80" w:type="dxa"/>
              <w:end w:w="100" w:type="dxa"/>
            </w:tcMar>
            <w:shd w:fill="D9EAF7"/>
          </w:tcPr>
          <w:p>
            <w:r>
              <w:rPr>
                <w:b/>
              </w:rPr>
              <w:t>Business Question</w:t>
            </w:r>
          </w:p>
        </w:tc>
        <w:tc>
          <w:tcPr>
            <w:tcW w:type="dxa" w:w="7920"/>
            <w:vAlign w:val="top"/>
            <w:tcMar>
              <w:top w:w="80" w:type="dxa"/>
              <w:start w:w="100" w:type="dxa"/>
              <w:bottom w:w="80" w:type="dxa"/>
              <w:end w:w="100" w:type="dxa"/>
            </w:tcMar>
          </w:tcPr>
          <w:p>
            <w:r>
              <w:t>How does the risk-review rate change across different transaction amount bands?</w:t>
            </w:r>
          </w:p>
        </w:tc>
      </w:tr>
      <w:tr>
        <w:trPr>
          <w:cantSplit/>
        </w:trPr>
        <w:tc>
          <w:tcPr>
            <w:tcW w:type="dxa" w:w="2160"/>
            <w:vAlign w:val="top"/>
            <w:tcMar>
              <w:top w:w="80" w:type="dxa"/>
              <w:start w:w="100" w:type="dxa"/>
              <w:bottom w:w="80" w:type="dxa"/>
              <w:end w:w="100" w:type="dxa"/>
            </w:tcMar>
            <w:shd w:fill="D9EAF7"/>
          </w:tcPr>
          <w:p>
            <w:r>
              <w:rPr>
                <w:b/>
              </w:rPr>
              <w:t>SQL Technique</w:t>
            </w:r>
          </w:p>
        </w:tc>
        <w:tc>
          <w:tcPr>
            <w:tcW w:type="dxa" w:w="7920"/>
            <w:vAlign w:val="top"/>
            <w:tcMar>
              <w:top w:w="80" w:type="dxa"/>
              <w:start w:w="100" w:type="dxa"/>
              <w:bottom w:w="80" w:type="dxa"/>
              <w:end w:w="100" w:type="dxa"/>
            </w:tcMar>
          </w:tcPr>
          <w:p>
            <w:r>
              <w:t>CTE, CASE-based transaction amount bands, aggregate functions, and conditional aggregation.</w:t>
            </w:r>
          </w:p>
        </w:tc>
      </w:tr>
      <w:tr>
        <w:trPr>
          <w:cantSplit/>
        </w:trPr>
        <w:tc>
          <w:tcPr>
            <w:tcW w:type="dxa" w:w="2160"/>
            <w:vAlign w:val="top"/>
            <w:tcMar>
              <w:top w:w="80" w:type="dxa"/>
              <w:start w:w="100" w:type="dxa"/>
              <w:bottom w:w="80" w:type="dxa"/>
              <w:end w:w="100" w:type="dxa"/>
            </w:tcMar>
            <w:shd w:fill="D9EAF7"/>
          </w:tcPr>
          <w:p>
            <w:r>
              <w:rPr>
                <w:b/>
              </w:rPr>
              <w:t>Finding</w:t>
            </w:r>
          </w:p>
        </w:tc>
        <w:tc>
          <w:tcPr>
            <w:tcW w:type="dxa" w:w="7920"/>
            <w:vAlign w:val="top"/>
            <w:tcMar>
              <w:top w:w="80" w:type="dxa"/>
              <w:start w:w="100" w:type="dxa"/>
              <w:bottom w:w="80" w:type="dxa"/>
              <w:end w:w="100" w:type="dxa"/>
            </w:tcMar>
            <w:shd w:fill="F7FBFE"/>
          </w:tcPr>
          <w:p>
            <w:r>
              <w:t>Risk-review rates increased as transaction amounts rose: 17.66% below NGN 10,000; 17.81% for NGN 10,000-49,999; 18.95% for NGN 50,000-99,999; 22.13% for NGN 100,000-199,999; and 40.54% for NGN 200,000 and above.</w:t>
            </w:r>
          </w:p>
        </w:tc>
      </w:tr>
      <w:tr>
        <w:trPr>
          <w:cantSplit/>
        </w:trPr>
        <w:tc>
          <w:tcPr>
            <w:tcW w:type="dxa" w:w="2160"/>
            <w:vAlign w:val="top"/>
            <w:tcMar>
              <w:top w:w="80" w:type="dxa"/>
              <w:start w:w="100" w:type="dxa"/>
              <w:bottom w:w="80" w:type="dxa"/>
              <w:end w:w="100" w:type="dxa"/>
            </w:tcMar>
            <w:shd w:fill="D9EAF7"/>
          </w:tcPr>
          <w:p>
            <w:r>
              <w:rPr>
                <w:b/>
              </w:rPr>
              <w:t>Business Interpretation</w:t>
            </w:r>
          </w:p>
        </w:tc>
        <w:tc>
          <w:tcPr>
            <w:tcW w:type="dxa" w:w="7920"/>
            <w:vAlign w:val="top"/>
            <w:tcMar>
              <w:top w:w="80" w:type="dxa"/>
              <w:start w:w="100" w:type="dxa"/>
              <w:bottom w:w="80" w:type="dxa"/>
              <w:end w:w="100" w:type="dxa"/>
            </w:tcMar>
          </w:tcPr>
          <w:p>
            <w:r>
              <w:t>Higher transaction amounts are increasingly associated with risk-review selection, with a particularly sharp increase for transactions of NGN 200,000 and above. This independently supports the finding from Analysis 5 that high-value transactions receive more review attention.</w:t>
            </w:r>
          </w:p>
        </w:tc>
      </w:tr>
    </w:tbl>
    <w:p/>
    <w:p>
      <w:pPr>
        <w:pStyle w:val="Heading1"/>
        <w:keepNext/>
      </w:pPr>
      <w:r>
        <w:t>9. Analysis 8 - Domestic vs International Performance by Channel</w:t>
      </w:r>
    </w:p>
    <w:tbl>
      <w:tblPr>
        <w:tblW w:type="auto" w:w="0"/>
        <w:jc w:val="center"/>
        <w:tblLayout w:type="fixed"/>
        <w:tblLook w:firstColumn="1" w:firstRow="1" w:lastColumn="0" w:lastRow="0" w:noHBand="0" w:noVBand="1" w:val="04A0"/>
      </w:tblPr>
      <w:tblGrid>
        <w:gridCol w:w="5083"/>
        <w:gridCol w:w="5083"/>
      </w:tblGrid>
      <w:tr>
        <w:trPr>
          <w:cantSplit/>
        </w:trPr>
        <w:tc>
          <w:tcPr>
            <w:tcW w:type="dxa" w:w="2160"/>
            <w:vAlign w:val="top"/>
            <w:tcMar>
              <w:top w:w="80" w:type="dxa"/>
              <w:start w:w="100" w:type="dxa"/>
              <w:bottom w:w="80" w:type="dxa"/>
              <w:end w:w="100" w:type="dxa"/>
            </w:tcMar>
            <w:shd w:fill="D9EAF7"/>
          </w:tcPr>
          <w:p>
            <w:r>
              <w:rPr>
                <w:b/>
              </w:rPr>
              <w:t>Business Question</w:t>
            </w:r>
          </w:p>
        </w:tc>
        <w:tc>
          <w:tcPr>
            <w:tcW w:type="dxa" w:w="7920"/>
            <w:vAlign w:val="top"/>
            <w:tcMar>
              <w:top w:w="80" w:type="dxa"/>
              <w:start w:w="100" w:type="dxa"/>
              <w:bottom w:w="80" w:type="dxa"/>
              <w:end w:w="100" w:type="dxa"/>
            </w:tcMar>
          </w:tcPr>
          <w:p>
            <w:r>
              <w:t>How do domestic and international transactions differ across banking channels in transaction value, success rate and risk-review rate?</w:t>
            </w:r>
          </w:p>
        </w:tc>
      </w:tr>
      <w:tr>
        <w:trPr>
          <w:cantSplit/>
        </w:trPr>
        <w:tc>
          <w:tcPr>
            <w:tcW w:type="dxa" w:w="2160"/>
            <w:vAlign w:val="top"/>
            <w:tcMar>
              <w:top w:w="80" w:type="dxa"/>
              <w:start w:w="100" w:type="dxa"/>
              <w:bottom w:w="80" w:type="dxa"/>
              <w:end w:w="100" w:type="dxa"/>
            </w:tcMar>
            <w:shd w:fill="D9EAF7"/>
          </w:tcPr>
          <w:p>
            <w:r>
              <w:rPr>
                <w:b/>
              </w:rPr>
              <w:t>SQL Technique</w:t>
            </w:r>
          </w:p>
        </w:tc>
        <w:tc>
          <w:tcPr>
            <w:tcW w:type="dxa" w:w="7920"/>
            <w:vAlign w:val="top"/>
            <w:tcMar>
              <w:top w:w="80" w:type="dxa"/>
              <w:start w:w="100" w:type="dxa"/>
              <w:bottom w:w="80" w:type="dxa"/>
              <w:end w:w="100" w:type="dxa"/>
            </w:tcMar>
          </w:tcPr>
          <w:p>
            <w:r>
              <w:t>Multi-dimensional GROUP BY, CASE-based conditional aggregation, aggregate functions, and comparative rate analysis.</w:t>
            </w:r>
          </w:p>
        </w:tc>
      </w:tr>
      <w:tr>
        <w:trPr>
          <w:cantSplit/>
        </w:trPr>
        <w:tc>
          <w:tcPr>
            <w:tcW w:type="dxa" w:w="2160"/>
            <w:vAlign w:val="top"/>
            <w:tcMar>
              <w:top w:w="80" w:type="dxa"/>
              <w:start w:w="100" w:type="dxa"/>
              <w:bottom w:w="80" w:type="dxa"/>
              <w:end w:w="100" w:type="dxa"/>
            </w:tcMar>
            <w:shd w:fill="D9EAF7"/>
          </w:tcPr>
          <w:p>
            <w:r>
              <w:rPr>
                <w:b/>
              </w:rPr>
              <w:t>Finding</w:t>
            </w:r>
          </w:p>
        </w:tc>
        <w:tc>
          <w:tcPr>
            <w:tcW w:type="dxa" w:w="7920"/>
            <w:vAlign w:val="top"/>
            <w:tcMar>
              <w:top w:w="80" w:type="dxa"/>
              <w:start w:w="100" w:type="dxa"/>
              <w:bottom w:w="80" w:type="dxa"/>
              <w:end w:w="100" w:type="dxa"/>
            </w:tcMar>
            <w:shd w:fill="F7FBFE"/>
          </w:tcPr>
          <w:p>
            <w:r>
              <w:t>International transactions were much smaller in volume but had substantially higher risk-review rates across every banking channel. Domestic risk-review rates ranged from 16.45% to 20.83%, while international rates ranged from 32.55% to 46.03%. International ATM had the highest review rate at 46.03%, followed by POS at 41.84%. International transactions also showed relatively high success rates, ranging from 92.06% to 94.74%, although several international channel groups had small transaction counts.</w:t>
            </w:r>
          </w:p>
        </w:tc>
      </w:tr>
      <w:tr>
        <w:trPr>
          <w:cantSplit/>
        </w:trPr>
        <w:tc>
          <w:tcPr>
            <w:tcW w:type="dxa" w:w="2160"/>
            <w:vAlign w:val="top"/>
            <w:tcMar>
              <w:top w:w="80" w:type="dxa"/>
              <w:start w:w="100" w:type="dxa"/>
              <w:bottom w:w="80" w:type="dxa"/>
              <w:end w:w="100" w:type="dxa"/>
            </w:tcMar>
            <w:shd w:fill="D9EAF7"/>
          </w:tcPr>
          <w:p>
            <w:r>
              <w:rPr>
                <w:b/>
              </w:rPr>
              <w:t>Business Interpretation</w:t>
            </w:r>
          </w:p>
        </w:tc>
        <w:tc>
          <w:tcPr>
            <w:tcW w:type="dxa" w:w="7920"/>
            <w:vAlign w:val="top"/>
            <w:tcMar>
              <w:top w:w="80" w:type="dxa"/>
              <w:start w:w="100" w:type="dxa"/>
              <w:bottom w:w="80" w:type="dxa"/>
              <w:end w:w="100" w:type="dxa"/>
            </w:tcMar>
          </w:tcPr>
          <w:p>
            <w:r>
              <w:t>International activity receives substantially more review attention across channels, but higher review rates do not imply weaker transaction success. Small international sample sizes for some channels should be considered when interpreting individual percentages.</w:t>
            </w:r>
          </w:p>
        </w:tc>
      </w:tr>
    </w:tbl>
    <w:p/>
    <w:p>
      <w:pPr>
        <w:pStyle w:val="Heading1"/>
        <w:keepNext/>
      </w:pPr>
      <w:r>
        <w:t>10. Part B Synthesis</w:t>
      </w:r>
    </w:p>
    <w:p>
      <w:r>
        <w:rPr>
          <w:b/>
        </w:rPr>
        <w:t xml:space="preserve">Overall Week 3 SQL development shows a clear progression beyond Week 2 descriptive analysis. </w:t>
      </w:r>
      <w:r>
        <w:t>The advanced queries moved from overall totals toward customer-level ranking, normalized segment comparison, month-over-month change, multi-dimensional failure analysis, high-value transaction segmentation, digital-engagement segmentation and deeper domestic/international comparison.</w:t>
      </w:r>
    </w:p>
    <w:p>
      <w:pPr>
        <w:pStyle w:val="ListBullet"/>
      </w:pPr>
      <w:r>
        <w:t>Customer value and transaction frequency should be considered together because the highest-value customers are not always the most frequent users.</w:t>
      </w:r>
    </w:p>
    <w:p>
      <w:pPr>
        <w:pStyle w:val="ListBullet"/>
      </w:pPr>
      <w:r>
        <w:t>Normalized segment metrics show that segment size can mask customer-level performance differences.</w:t>
      </w:r>
    </w:p>
    <w:p>
      <w:pPr>
        <w:pStyle w:val="ListBullet"/>
      </w:pPr>
      <w:r>
        <w:t>February showed a temporary decline in transaction activity, followed by a strong March recovery.</w:t>
      </w:r>
    </w:p>
    <w:p>
      <w:pPr>
        <w:pStyle w:val="ListBullet"/>
      </w:pPr>
      <w:r>
        <w:t>Failure rates and failure counts identify different operational priorities and should be reviewed together.</w:t>
      </w:r>
    </w:p>
    <w:p>
      <w:pPr>
        <w:pStyle w:val="ListBullet"/>
      </w:pPr>
      <w:r>
        <w:t>High-value transactions and higher transaction amount bands are much more frequently selected for risk review.</w:t>
      </w:r>
    </w:p>
    <w:p>
      <w:pPr>
        <w:pStyle w:val="ListBullet"/>
      </w:pPr>
      <w:r>
        <w:t>Higher digital engagement is associated with moderately stronger transaction activity and customer value.</w:t>
      </w:r>
    </w:p>
    <w:p>
      <w:pPr>
        <w:pStyle w:val="ListBullet"/>
      </w:pPr>
      <w:r>
        <w:t>International transactions receive much higher risk-review attention across all channels while maintaining relatively high success rates.</w:t>
      </w:r>
    </w:p>
    <w:p>
      <w:r>
        <w:rPr>
          <w:b/>
        </w:rPr>
        <w:t xml:space="preserve">Important interpretation note: </w:t>
      </w:r>
      <w:r>
        <w:t>Risk_Review_Flag is a synthetic educational review indicator. It should not be described as confirmed fraud or as a real banking risk decision.</w:t>
      </w:r>
    </w:p>
    <w:p>
      <w:pPr>
        <w:pStyle w:val="Heading1"/>
        <w:keepNext/>
      </w:pPr>
      <w:r>
        <w:t>11. Part B Completion Status</w:t>
      </w:r>
    </w:p>
    <w:tbl>
      <w:tblPr>
        <w:tblW w:type="auto" w:w="0"/>
        <w:jc w:val="center"/>
        <w:tblLook w:firstColumn="1" w:firstRow="1" w:lastColumn="0" w:lastRow="0" w:noHBand="0" w:noVBand="1" w:val="04A0"/>
      </w:tblPr>
      <w:tblGrid>
        <w:gridCol w:w="5083"/>
        <w:gridCol w:w="5083"/>
      </w:tblGrid>
      <w:tr>
        <w:trPr>
          <w:cantSplit/>
        </w:trPr>
        <w:tc>
          <w:tcPr>
            <w:tcW w:type="dxa" w:w="5083"/>
            <w:shd w:fill="D9EAF7"/>
            <w:tcMar>
              <w:top w:w="80" w:type="dxa"/>
              <w:start w:w="100" w:type="dxa"/>
              <w:bottom w:w="80" w:type="dxa"/>
              <w:end w:w="100" w:type="dxa"/>
            </w:tcMar>
          </w:tcPr>
          <w:p>
            <w:r>
              <w:rPr>
                <w:b/>
              </w:rPr>
              <w:t>Required advanced SQL analyses</w:t>
            </w:r>
          </w:p>
        </w:tc>
        <w:tc>
          <w:tcPr>
            <w:tcW w:type="dxa" w:w="5083"/>
            <w:tcMar>
              <w:top w:w="80" w:type="dxa"/>
              <w:start w:w="100" w:type="dxa"/>
              <w:bottom w:w="80" w:type="dxa"/>
              <w:end w:w="100" w:type="dxa"/>
            </w:tcMar>
          </w:tcPr>
          <w:p>
            <w:r>
              <w:t>8 completed</w:t>
            </w:r>
          </w:p>
        </w:tc>
      </w:tr>
      <w:tr>
        <w:trPr>
          <w:cantSplit/>
        </w:trPr>
        <w:tc>
          <w:tcPr>
            <w:tcW w:type="dxa" w:w="5083"/>
            <w:shd w:fill="D9EAF7"/>
            <w:tcMar>
              <w:top w:w="80" w:type="dxa"/>
              <w:start w:w="100" w:type="dxa"/>
              <w:bottom w:w="80" w:type="dxa"/>
              <w:end w:w="100" w:type="dxa"/>
            </w:tcMar>
          </w:tcPr>
          <w:p>
            <w:r>
              <w:rPr>
                <w:b/>
              </w:rPr>
              <w:t>Advanced techniques demonstrated</w:t>
            </w:r>
          </w:p>
        </w:tc>
        <w:tc>
          <w:tcPr>
            <w:tcW w:type="dxa" w:w="5083"/>
            <w:tcMar>
              <w:top w:w="80" w:type="dxa"/>
              <w:start w:w="100" w:type="dxa"/>
              <w:bottom w:w="80" w:type="dxa"/>
              <w:end w:w="100" w:type="dxa"/>
            </w:tcMar>
          </w:tcPr>
          <w:p>
            <w:r>
              <w:t>CTEs, JOINs, CASE, aggregate functions, HAVING, DENSE_RANK(), LAG(), NTILE(), conditional aggregation</w:t>
            </w:r>
          </w:p>
        </w:tc>
      </w:tr>
      <w:tr>
        <w:trPr>
          <w:cantSplit/>
        </w:trPr>
        <w:tc>
          <w:tcPr>
            <w:tcW w:type="dxa" w:w="5083"/>
            <w:shd w:fill="D9EAF7"/>
            <w:tcMar>
              <w:top w:w="80" w:type="dxa"/>
              <w:start w:w="100" w:type="dxa"/>
              <w:bottom w:w="80" w:type="dxa"/>
              <w:end w:w="100" w:type="dxa"/>
            </w:tcMar>
          </w:tcPr>
          <w:p>
            <w:r>
              <w:rPr>
                <w:b/>
              </w:rPr>
              <w:t>Week 2 repetition</w:t>
            </w:r>
          </w:p>
        </w:tc>
        <w:tc>
          <w:tcPr>
            <w:tcW w:type="dxa" w:w="5083"/>
            <w:tcMar>
              <w:top w:w="80" w:type="dxa"/>
              <w:start w:w="100" w:type="dxa"/>
              <w:bottom w:w="80" w:type="dxa"/>
              <w:end w:w="100" w:type="dxa"/>
            </w:tcMar>
          </w:tcPr>
          <w:p>
            <w:r>
              <w:t>Avoided; Week 3 questions substantially deepen or extend Week 2 analysis</w:t>
            </w:r>
          </w:p>
        </w:tc>
      </w:tr>
      <w:tr>
        <w:trPr>
          <w:cantSplit/>
        </w:trPr>
        <w:tc>
          <w:tcPr>
            <w:tcW w:type="dxa" w:w="5083"/>
            <w:shd w:fill="D9EAF7"/>
            <w:tcMar>
              <w:top w:w="80" w:type="dxa"/>
              <w:start w:w="100" w:type="dxa"/>
              <w:bottom w:w="80" w:type="dxa"/>
              <w:end w:w="100" w:type="dxa"/>
            </w:tcMar>
          </w:tcPr>
          <w:p>
            <w:r>
              <w:rPr>
                <w:b/>
              </w:rPr>
              <w:t>Validation links</w:t>
            </w:r>
          </w:p>
        </w:tc>
        <w:tc>
          <w:tcPr>
            <w:tcW w:type="dxa" w:w="5083"/>
            <w:tcMar>
              <w:top w:w="80" w:type="dxa"/>
              <w:start w:w="100" w:type="dxa"/>
              <w:bottom w:w="80" w:type="dxa"/>
              <w:end w:w="100" w:type="dxa"/>
            </w:tcMar>
          </w:tcPr>
          <w:p>
            <w:r>
              <w:t>Analysis 7 independently supports the high-value risk-review pattern identified in Analysis 5</w:t>
            </w:r>
          </w:p>
        </w:tc>
      </w:tr>
      <w:tr>
        <w:trPr>
          <w:cantSplit/>
        </w:trPr>
        <w:tc>
          <w:tcPr>
            <w:tcW w:type="dxa" w:w="5083"/>
            <w:shd w:fill="D9EAF7"/>
            <w:tcMar>
              <w:top w:w="80" w:type="dxa"/>
              <w:start w:w="100" w:type="dxa"/>
              <w:bottom w:w="80" w:type="dxa"/>
              <w:end w:w="100" w:type="dxa"/>
            </w:tcMar>
          </w:tcPr>
          <w:p>
            <w:r>
              <w:rPr>
                <w:b/>
              </w:rPr>
              <w:t>Next stage</w:t>
            </w:r>
          </w:p>
        </w:tc>
        <w:tc>
          <w:tcPr>
            <w:tcW w:type="dxa" w:w="5083"/>
            <w:tcMar>
              <w:top w:w="80" w:type="dxa"/>
              <w:start w:w="100" w:type="dxa"/>
              <w:bottom w:w="80" w:type="dxa"/>
              <w:end w:w="100" w:type="dxa"/>
            </w:tcMar>
          </w:tcPr>
          <w:p>
            <w:r>
              <w:t>Part C - Advanced Python Analysis</w:t>
            </w:r>
          </w:p>
        </w:tc>
      </w:tr>
    </w:tbl>
    <w:sectPr w:rsidR="00FC693F" w:rsidRPr="0006063C" w:rsidSect="00034616">
      <w:headerReference w:type="default" r:id="rId9"/>
      <w:footerReference w:type="default" r:id="rId10"/>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072" w:val="right"/>
      </w:tabs>
      <w:jc w:val="right"/>
    </w:pPr>
    <w:r>
      <w:rPr>
        <w:color w:val="646464"/>
        <w:sz w:val="16"/>
      </w:rPr>
      <w:t>AnalystLab Africa - Data Analytics Track</w:t>
    </w:r>
    <w:r>
      <w:tab/>
    </w:r>
    <w:r>
      <w:rPr>
        <w:color w:val="646464"/>
        <w:sz w:val="16"/>
      </w:rPr>
      <w:t xml:space="preserve">Page </w:t>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646464"/>
        <w:sz w:val="16"/>
      </w:rPr>
      <w:t>FINTRUST DIGITAL BANK | WEEK 3 ADVANCED SQL ANALYSIS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1F4E78"/>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2F5597"/>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F4E78"/>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