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ptos Display" w:hAnsi="Aptos Display"/>
          <w:b/>
          <w:color w:val="1F4E78"/>
          <w:sz w:val="40"/>
        </w:rPr>
        <w:t>FinTrust Digital Bank</w:t>
      </w:r>
    </w:p>
    <w:p>
      <w:pPr>
        <w:spacing w:after="200"/>
        <w:jc w:val="center"/>
      </w:pPr>
      <w:r>
        <w:rPr>
          <w:rFonts w:ascii="Aptos Display" w:hAnsi="Aptos Display"/>
          <w:b/>
          <w:color w:val="1F4E78"/>
          <w:sz w:val="32"/>
        </w:rPr>
        <w:t>Week 3 – Part D: Power BI Dashboard Development</w:t>
      </w:r>
    </w:p>
    <w:p>
      <w:pPr>
        <w:spacing w:after="160"/>
      </w:pPr>
      <w:r>
        <w:rPr>
          <w:rFonts w:ascii="Aptos" w:hAnsi="Aptos"/>
          <w:b/>
          <w:sz w:val="20"/>
        </w:rPr>
        <w:t xml:space="preserve">Brief: </w:t>
      </w:r>
      <w:r>
        <w:rPr>
          <w:rFonts w:ascii="Aptos" w:hAnsi="Aptos"/>
          <w:sz w:val="20"/>
        </w:rPr>
        <w:t>Part D develops the Week 2 FinTrust dashboard into a more decision-oriented business intelligence solution. The Week 3 work retains useful Week 2 visuals, adds deeper customer, transaction and risk analysis, introduces new DAX calculations, and validates key dashboard outputs against the SQL and Python analyses.</w:t>
      </w:r>
    </w:p>
    <w:p>
      <w:pPr>
        <w:pStyle w:val="Heading1"/>
      </w:pPr>
      <w:r>
        <w:t>1. Week 2 Dashboard Foundation</w:t>
      </w:r>
    </w:p>
    <w:p>
      <w:pPr>
        <w:spacing w:after="140"/>
      </w:pPr>
      <w:r>
        <w:t>The Week 2 Power BI dashboard provided a descriptive reporting foundation. It already included headline KPI cards, transaction and customer summaries, monthly trends, transaction-status analysis, risk-review visuals and slicers. Rather than rebuilding the dashboard, Week 3 focused on targeted improvements that added deeper comparisons and more management-oriented metrics.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31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Week 2 Component</w:t>
            </w:r>
          </w:p>
        </w:tc>
        <w:tc>
          <w:tcPr>
            <w:tcW w:type="dxa" w:w="705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Week 3 Development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Executive KPI summary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Retained the six core KPI cards and existing slicers as the management overview.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2F6FA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Basic channel and transaction-type summaries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2F6FA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Added a Channel × Transaction Type failure-rate matrix to identify specific failure hotspots.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Customer-segment totals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Added normalized per-customer measures to compare segments fairly.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2F6FA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Overall risk-review summaries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2F6FA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Added risk-review analysis by transaction amount band.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Basic customer analysis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Added digital-engagement analysis and customer-level transaction metrics.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2F6FA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Monthly totals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2F6FA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Retained the monthly trend view and used Week 3 SQL/Python results to validate the February decline and March recovery.</w:t>
            </w:r>
          </w:p>
        </w:tc>
      </w:tr>
    </w:tbl>
    <w:p>
      <w:pPr>
        <w:spacing w:after="40"/>
      </w:pPr>
    </w:p>
    <w:p>
      <w:pPr>
        <w:pStyle w:val="Heading1"/>
      </w:pPr>
      <w:r>
        <w:t>2. Week 3 Dashboard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244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Page</w:t>
            </w:r>
          </w:p>
        </w:tc>
        <w:tc>
          <w:tcPr>
            <w:tcW w:type="dxa" w:w="31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Key Week 3 Content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KPI Section / Executive Overview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Headline performance monitoring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Total Customers, Total Transactions, Total Transaction Value, Average Transaction Value, Transaction Success Rate, Risk Review Rate; Customer Segment, Transaction Date and City slicers.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2F6FA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Transaction Analysis I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2F6FA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Channel, transaction-type and failure analysis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2F6FA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Transaction value by type, transactions by channel, and failure-rate matrix by Channel × Transaction Type.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Transaction Analysis II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Operational performance and trends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Transaction value by channel, transaction status, monthly volume/value trend, and Transaction Value per Customer by Segment.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2F6FA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Risk &amp; Operations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2F6FA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Risk-review patterns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2F6FA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Risk Review Rate by Channel, Transaction Type and Transaction Amount Band.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Customer &amp; Segment Analysis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Customer-level and engagement analysis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Transactions per Customer by Segment, Transaction Value per Customer by Digital Engagement, and Transactions per Customer by Engagement Level.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>
              <w:rPr>
                <w:sz w:val="18"/>
              </w:rPr>
              <w:t>Segment Detail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Drill-through analysis for a selected customer segment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Customer_Segment drill-through with Total Customers, Total Transactions, Total Transaction Value, Transaction Value by Channel, and Total Transactions by Transaction Type; includes back navigation.</w:t>
            </w:r>
          </w:p>
        </w:tc>
      </w:tr>
    </w:tbl>
    <w:p>
      <w:pPr>
        <w:spacing w:after="40"/>
      </w:pPr>
    </w:p>
    <w:p>
      <w:pPr>
        <w:pStyle w:val="Heading1"/>
      </w:pPr>
      <w:r>
        <w:t>3. New Week 3 DAX Measures and Columns</w:t>
      </w:r>
    </w:p>
    <w:p>
      <w:pPr>
        <w:spacing w:after="120"/>
      </w:pPr>
      <w:r>
        <w:t>The following calculations were added or used to support the Week 3 dashboard development.</w:t>
      </w:r>
    </w:p>
    <w:p>
      <w:pPr>
        <w:pStyle w:val="Heading2"/>
      </w:pPr>
      <w:r>
        <w:t>3.1 Measures</w:t>
      </w:r>
    </w:p>
    <w:p>
      <w:r>
        <w:t>Failed Transactions</w:t>
      </w:r>
    </w:p>
    <w:p>
      <w:pPr>
        <w:spacing w:after="0" w:line="240" w:lineRule="auto"/>
        <w:ind w:left="403"/>
      </w:pPr>
      <w:r>
        <w:rPr>
          <w:rFonts w:ascii="Consolas" w:hAnsi="Consolas"/>
          <w:color w:val="2D2D2D"/>
          <w:sz w:val="17"/>
        </w:rPr>
        <w:t>Failed Transactions =</w:t>
      </w:r>
    </w:p>
    <w:p>
      <w:pPr>
        <w:spacing w:after="0" w:line="240" w:lineRule="auto"/>
        <w:ind w:left="403"/>
      </w:pPr>
      <w:r>
        <w:rPr>
          <w:rFonts w:ascii="Consolas" w:hAnsi="Consolas"/>
          <w:color w:val="2D2D2D"/>
          <w:sz w:val="17"/>
        </w:rPr>
        <w:t>CALCULATE(</w:t>
      </w:r>
    </w:p>
    <w:p>
      <w:pPr>
        <w:spacing w:after="0" w:line="240" w:lineRule="auto"/>
        <w:ind w:left="403"/>
      </w:pPr>
      <w:r>
        <w:rPr>
          <w:rFonts w:ascii="Consolas" w:hAnsi="Consolas"/>
          <w:color w:val="2D2D2D"/>
          <w:sz w:val="17"/>
        </w:rPr>
        <w:t xml:space="preserve">    [Total Transactions],</w:t>
      </w:r>
    </w:p>
    <w:p>
      <w:pPr>
        <w:spacing w:after="0" w:line="240" w:lineRule="auto"/>
        <w:ind w:left="403"/>
      </w:pPr>
      <w:r>
        <w:rPr>
          <w:rFonts w:ascii="Consolas" w:hAnsi="Consolas"/>
          <w:color w:val="2D2D2D"/>
          <w:sz w:val="17"/>
        </w:rPr>
        <w:t xml:space="preserve">    'FinTrust_Transaction_Clean Data'[Transaction_Status] = "Failed"</w:t>
      </w:r>
    </w:p>
    <w:p>
      <w:pPr>
        <w:spacing w:after="0" w:line="240" w:lineRule="auto"/>
        <w:ind w:left="403"/>
      </w:pPr>
      <w:r>
        <w:rPr>
          <w:rFonts w:ascii="Consolas" w:hAnsi="Consolas"/>
          <w:color w:val="2D2D2D"/>
          <w:sz w:val="17"/>
        </w:rPr>
        <w:t>)</w:t>
      </w:r>
    </w:p>
    <w:p>
      <w:pPr>
        <w:spacing w:after="20"/>
      </w:pPr>
    </w:p>
    <w:p>
      <w:r>
        <w:t>Failure Rate</w:t>
      </w:r>
    </w:p>
    <w:p>
      <w:pPr>
        <w:spacing w:after="0" w:line="240" w:lineRule="auto"/>
        <w:ind w:left="403"/>
      </w:pPr>
      <w:r>
        <w:rPr>
          <w:rFonts w:ascii="Consolas" w:hAnsi="Consolas"/>
          <w:color w:val="2D2D2D"/>
          <w:sz w:val="17"/>
        </w:rPr>
        <w:t>Failure Rate =</w:t>
      </w:r>
    </w:p>
    <w:p>
      <w:pPr>
        <w:spacing w:after="0" w:line="240" w:lineRule="auto"/>
        <w:ind w:left="403"/>
      </w:pPr>
      <w:r>
        <w:rPr>
          <w:rFonts w:ascii="Consolas" w:hAnsi="Consolas"/>
          <w:color w:val="2D2D2D"/>
          <w:sz w:val="17"/>
        </w:rPr>
        <w:t>DIVIDE(</w:t>
      </w:r>
    </w:p>
    <w:p>
      <w:pPr>
        <w:spacing w:after="0" w:line="240" w:lineRule="auto"/>
        <w:ind w:left="403"/>
      </w:pPr>
      <w:r>
        <w:rPr>
          <w:rFonts w:ascii="Consolas" w:hAnsi="Consolas"/>
          <w:color w:val="2D2D2D"/>
          <w:sz w:val="17"/>
        </w:rPr>
        <w:t xml:space="preserve">    [Failed Transactions],</w:t>
      </w:r>
    </w:p>
    <w:p>
      <w:pPr>
        <w:spacing w:after="0" w:line="240" w:lineRule="auto"/>
        <w:ind w:left="403"/>
      </w:pPr>
      <w:r>
        <w:rPr>
          <w:rFonts w:ascii="Consolas" w:hAnsi="Consolas"/>
          <w:color w:val="2D2D2D"/>
          <w:sz w:val="17"/>
        </w:rPr>
        <w:t xml:space="preserve">    [Total Transactions]</w:t>
      </w:r>
    </w:p>
    <w:p>
      <w:pPr>
        <w:spacing w:after="0" w:line="240" w:lineRule="auto"/>
        <w:ind w:left="403"/>
      </w:pPr>
      <w:r>
        <w:rPr>
          <w:rFonts w:ascii="Consolas" w:hAnsi="Consolas"/>
          <w:color w:val="2D2D2D"/>
          <w:sz w:val="17"/>
        </w:rPr>
        <w:t>)</w:t>
      </w:r>
    </w:p>
    <w:p>
      <w:pPr>
        <w:spacing w:after="20"/>
      </w:pPr>
    </w:p>
    <w:p>
      <w:r>
        <w:t>Transaction Value per Customer</w:t>
      </w:r>
    </w:p>
    <w:p>
      <w:pPr>
        <w:spacing w:after="0" w:line="240" w:lineRule="auto"/>
        <w:ind w:left="403"/>
      </w:pPr>
      <w:r>
        <w:rPr>
          <w:rFonts w:ascii="Consolas" w:hAnsi="Consolas"/>
          <w:color w:val="2D2D2D"/>
          <w:sz w:val="17"/>
        </w:rPr>
        <w:t>Transaction Value per Customer =</w:t>
      </w:r>
    </w:p>
    <w:p>
      <w:pPr>
        <w:spacing w:after="0" w:line="240" w:lineRule="auto"/>
        <w:ind w:left="403"/>
      </w:pPr>
      <w:r>
        <w:rPr>
          <w:rFonts w:ascii="Consolas" w:hAnsi="Consolas"/>
          <w:color w:val="2D2D2D"/>
          <w:sz w:val="17"/>
        </w:rPr>
        <w:t>DIVIDE(</w:t>
      </w:r>
    </w:p>
    <w:p>
      <w:pPr>
        <w:spacing w:after="0" w:line="240" w:lineRule="auto"/>
        <w:ind w:left="403"/>
      </w:pPr>
      <w:r>
        <w:rPr>
          <w:rFonts w:ascii="Consolas" w:hAnsi="Consolas"/>
          <w:color w:val="2D2D2D"/>
          <w:sz w:val="17"/>
        </w:rPr>
        <w:t xml:space="preserve">    [Total Transaction Value],</w:t>
      </w:r>
    </w:p>
    <w:p>
      <w:pPr>
        <w:spacing w:after="0" w:line="240" w:lineRule="auto"/>
        <w:ind w:left="403"/>
      </w:pPr>
      <w:r>
        <w:rPr>
          <w:rFonts w:ascii="Consolas" w:hAnsi="Consolas"/>
          <w:color w:val="2D2D2D"/>
          <w:sz w:val="17"/>
        </w:rPr>
        <w:t xml:space="preserve">    [Total Customers]</w:t>
      </w:r>
    </w:p>
    <w:p>
      <w:pPr>
        <w:spacing w:after="0" w:line="240" w:lineRule="auto"/>
        <w:ind w:left="403"/>
      </w:pPr>
      <w:r>
        <w:rPr>
          <w:rFonts w:ascii="Consolas" w:hAnsi="Consolas"/>
          <w:color w:val="2D2D2D"/>
          <w:sz w:val="17"/>
        </w:rPr>
        <w:t>)</w:t>
      </w:r>
    </w:p>
    <w:p>
      <w:pPr>
        <w:spacing w:after="20"/>
      </w:pPr>
    </w:p>
    <w:p>
      <w:r>
        <w:t>Transactions per Customer</w:t>
      </w:r>
    </w:p>
    <w:p>
      <w:pPr>
        <w:spacing w:after="0" w:line="240" w:lineRule="auto"/>
        <w:ind w:left="403"/>
      </w:pPr>
      <w:r>
        <w:rPr>
          <w:rFonts w:ascii="Consolas" w:hAnsi="Consolas"/>
          <w:color w:val="2D2D2D"/>
          <w:sz w:val="17"/>
        </w:rPr>
        <w:t>Transactions per Customer =</w:t>
      </w:r>
    </w:p>
    <w:p>
      <w:pPr>
        <w:spacing w:after="0" w:line="240" w:lineRule="auto"/>
        <w:ind w:left="403"/>
      </w:pPr>
      <w:r>
        <w:rPr>
          <w:rFonts w:ascii="Consolas" w:hAnsi="Consolas"/>
          <w:color w:val="2D2D2D"/>
          <w:sz w:val="17"/>
        </w:rPr>
        <w:t>DIVIDE(</w:t>
      </w:r>
    </w:p>
    <w:p>
      <w:pPr>
        <w:spacing w:after="0" w:line="240" w:lineRule="auto"/>
        <w:ind w:left="403"/>
      </w:pPr>
      <w:r>
        <w:rPr>
          <w:rFonts w:ascii="Consolas" w:hAnsi="Consolas"/>
          <w:color w:val="2D2D2D"/>
          <w:sz w:val="17"/>
        </w:rPr>
        <w:t xml:space="preserve">    [Total Transactions],</w:t>
      </w:r>
    </w:p>
    <w:p>
      <w:pPr>
        <w:spacing w:after="0" w:line="240" w:lineRule="auto"/>
        <w:ind w:left="403"/>
      </w:pPr>
      <w:r>
        <w:rPr>
          <w:rFonts w:ascii="Consolas" w:hAnsi="Consolas"/>
          <w:color w:val="2D2D2D"/>
          <w:sz w:val="17"/>
        </w:rPr>
        <w:t xml:space="preserve">    [Total Customers]</w:t>
      </w:r>
    </w:p>
    <w:p>
      <w:pPr>
        <w:spacing w:after="0" w:line="240" w:lineRule="auto"/>
        <w:ind w:left="403"/>
      </w:pPr>
      <w:r>
        <w:rPr>
          <w:rFonts w:ascii="Consolas" w:hAnsi="Consolas"/>
          <w:color w:val="2D2D2D"/>
          <w:sz w:val="17"/>
        </w:rPr>
        <w:t>)</w:t>
      </w:r>
    </w:p>
    <w:p>
      <w:pPr>
        <w:spacing w:after="20"/>
      </w:pPr>
    </w:p>
    <w:p>
      <w:pPr>
        <w:pStyle w:val="Heading2"/>
      </w:pPr>
      <w:r>
        <w:t>3.2 Calculated Columns</w:t>
      </w:r>
    </w:p>
    <w:p>
      <w:r>
        <w:t>Transaction Amount Band</w:t>
      </w:r>
    </w:p>
    <w:p>
      <w:pPr>
        <w:spacing w:after="0" w:line="240" w:lineRule="auto"/>
        <w:ind w:left="403"/>
      </w:pPr>
      <w:r>
        <w:rPr>
          <w:rFonts w:ascii="Consolas" w:hAnsi="Consolas"/>
          <w:color w:val="2D2D2D"/>
          <w:sz w:val="17"/>
        </w:rPr>
        <w:t>Amount Band =</w:t>
      </w:r>
    </w:p>
    <w:p>
      <w:pPr>
        <w:spacing w:after="0" w:line="240" w:lineRule="auto"/>
        <w:ind w:left="403"/>
      </w:pPr>
      <w:r>
        <w:rPr>
          <w:rFonts w:ascii="Consolas" w:hAnsi="Consolas"/>
          <w:color w:val="2D2D2D"/>
          <w:sz w:val="17"/>
        </w:rPr>
        <w:t>SWITCH(</w:t>
      </w:r>
    </w:p>
    <w:p>
      <w:pPr>
        <w:spacing w:after="0" w:line="240" w:lineRule="auto"/>
        <w:ind w:left="403"/>
      </w:pPr>
      <w:r>
        <w:rPr>
          <w:rFonts w:ascii="Consolas" w:hAnsi="Consolas"/>
          <w:color w:val="2D2D2D"/>
          <w:sz w:val="17"/>
        </w:rPr>
        <w:t xml:space="preserve">    TRUE(),</w:t>
      </w:r>
    </w:p>
    <w:p>
      <w:pPr>
        <w:spacing w:after="0" w:line="240" w:lineRule="auto"/>
        <w:ind w:left="403"/>
      </w:pPr>
      <w:r>
        <w:rPr>
          <w:rFonts w:ascii="Consolas" w:hAnsi="Consolas"/>
          <w:color w:val="2D2D2D"/>
          <w:sz w:val="17"/>
        </w:rPr>
        <w:t xml:space="preserve">    [Amount_NGN] &lt; 10000, "Below 10K",</w:t>
      </w:r>
    </w:p>
    <w:p>
      <w:pPr>
        <w:spacing w:after="0" w:line="240" w:lineRule="auto"/>
        <w:ind w:left="403"/>
      </w:pPr>
      <w:r>
        <w:rPr>
          <w:rFonts w:ascii="Consolas" w:hAnsi="Consolas"/>
          <w:color w:val="2D2D2D"/>
          <w:sz w:val="17"/>
        </w:rPr>
        <w:t xml:space="preserve">    [Amount_NGN] &lt; 50000, "10K - 49,999",</w:t>
      </w:r>
    </w:p>
    <w:p>
      <w:pPr>
        <w:spacing w:after="0" w:line="240" w:lineRule="auto"/>
        <w:ind w:left="403"/>
      </w:pPr>
      <w:r>
        <w:rPr>
          <w:rFonts w:ascii="Consolas" w:hAnsi="Consolas"/>
          <w:color w:val="2D2D2D"/>
          <w:sz w:val="17"/>
        </w:rPr>
        <w:t xml:space="preserve">    [Amount_NGN] &lt; 100000, "50K - 99,999",</w:t>
      </w:r>
    </w:p>
    <w:p>
      <w:pPr>
        <w:spacing w:after="0" w:line="240" w:lineRule="auto"/>
        <w:ind w:left="403"/>
      </w:pPr>
      <w:r>
        <w:rPr>
          <w:rFonts w:ascii="Consolas" w:hAnsi="Consolas"/>
          <w:color w:val="2D2D2D"/>
          <w:sz w:val="17"/>
        </w:rPr>
        <w:t xml:space="preserve">    [Amount_NGN] &lt; 200000, "100K - 199,999",</w:t>
      </w:r>
    </w:p>
    <w:p>
      <w:pPr>
        <w:spacing w:after="0" w:line="240" w:lineRule="auto"/>
        <w:ind w:left="403"/>
      </w:pPr>
      <w:r>
        <w:rPr>
          <w:rFonts w:ascii="Consolas" w:hAnsi="Consolas"/>
          <w:color w:val="2D2D2D"/>
          <w:sz w:val="17"/>
        </w:rPr>
        <w:t xml:space="preserve">    "200K and Above"</w:t>
      </w:r>
    </w:p>
    <w:p>
      <w:pPr>
        <w:spacing w:after="0" w:line="240" w:lineRule="auto"/>
        <w:ind w:left="403"/>
      </w:pPr>
      <w:r>
        <w:rPr>
          <w:rFonts w:ascii="Consolas" w:hAnsi="Consolas"/>
          <w:color w:val="2D2D2D"/>
          <w:sz w:val="17"/>
        </w:rPr>
        <w:t>)</w:t>
      </w:r>
    </w:p>
    <w:p>
      <w:pPr>
        <w:spacing w:after="20"/>
      </w:pPr>
    </w:p>
    <w:p>
      <w:r>
        <w:t>Digital Engagement Level</w:t>
      </w:r>
    </w:p>
    <w:p>
      <w:pPr>
        <w:spacing w:after="0" w:line="240" w:lineRule="auto"/>
        <w:ind w:left="403"/>
      </w:pPr>
      <w:r>
        <w:rPr>
          <w:rFonts w:ascii="Consolas" w:hAnsi="Consolas"/>
          <w:color w:val="2D2D2D"/>
          <w:sz w:val="17"/>
        </w:rPr>
        <w:t>Engagement Level =</w:t>
      </w:r>
    </w:p>
    <w:p>
      <w:pPr>
        <w:spacing w:after="0" w:line="240" w:lineRule="auto"/>
        <w:ind w:left="403"/>
      </w:pPr>
      <w:r>
        <w:rPr>
          <w:rFonts w:ascii="Consolas" w:hAnsi="Consolas"/>
          <w:color w:val="2D2D2D"/>
          <w:sz w:val="17"/>
        </w:rPr>
        <w:t>SWITCH(</w:t>
      </w:r>
    </w:p>
    <w:p>
      <w:pPr>
        <w:spacing w:after="0" w:line="240" w:lineRule="auto"/>
        <w:ind w:left="403"/>
      </w:pPr>
      <w:r>
        <w:rPr>
          <w:rFonts w:ascii="Consolas" w:hAnsi="Consolas"/>
          <w:color w:val="2D2D2D"/>
          <w:sz w:val="17"/>
        </w:rPr>
        <w:t xml:space="preserve">    TRUE(),</w:t>
      </w:r>
    </w:p>
    <w:p>
      <w:pPr>
        <w:spacing w:after="0" w:line="240" w:lineRule="auto"/>
        <w:ind w:left="403"/>
      </w:pPr>
      <w:r>
        <w:rPr>
          <w:rFonts w:ascii="Consolas" w:hAnsi="Consolas"/>
          <w:color w:val="2D2D2D"/>
          <w:sz w:val="17"/>
        </w:rPr>
        <w:t xml:space="preserve">    'FinTrust_Customer_Clean Data'[Digital_Engagement_Score] &lt; 40, "Low Engagement",</w:t>
      </w:r>
    </w:p>
    <w:p>
      <w:pPr>
        <w:spacing w:after="0" w:line="240" w:lineRule="auto"/>
        <w:ind w:left="403"/>
      </w:pPr>
      <w:r>
        <w:rPr>
          <w:rFonts w:ascii="Consolas" w:hAnsi="Consolas"/>
          <w:color w:val="2D2D2D"/>
          <w:sz w:val="17"/>
        </w:rPr>
        <w:t xml:space="preserve">    'FinTrust_Customer_Clean Data'[Digital_Engagement_Score] &lt; 70, "Medium Engagement",</w:t>
      </w:r>
    </w:p>
    <w:p>
      <w:pPr>
        <w:spacing w:after="0" w:line="240" w:lineRule="auto"/>
        <w:ind w:left="403"/>
      </w:pPr>
      <w:r>
        <w:rPr>
          <w:rFonts w:ascii="Consolas" w:hAnsi="Consolas"/>
          <w:color w:val="2D2D2D"/>
          <w:sz w:val="17"/>
        </w:rPr>
        <w:t xml:space="preserve">    "High Engagement"</w:t>
      </w:r>
    </w:p>
    <w:p>
      <w:pPr>
        <w:spacing w:after="0" w:line="240" w:lineRule="auto"/>
        <w:ind w:left="403"/>
      </w:pPr>
      <w:r>
        <w:rPr>
          <w:rFonts w:ascii="Consolas" w:hAnsi="Consolas"/>
          <w:color w:val="2D2D2D"/>
          <w:sz w:val="17"/>
        </w:rPr>
        <w:t>)</w:t>
      </w:r>
    </w:p>
    <w:p>
      <w:pPr>
        <w:spacing w:after="20"/>
      </w:pPr>
    </w:p>
    <w:p>
      <w:pPr>
        <w:spacing w:after="140"/>
      </w:pPr>
      <w:r>
        <w:t>Sort-order helper columns were also created for Amount Band and Engagement Level so that categories display in a logical business order rather than alphabetically.</w:t>
      </w:r>
    </w:p>
    <w:p>
      <w:pPr>
        <w:pStyle w:val="Heading1"/>
      </w:pPr>
      <w:r>
        <w:t>4. Key Dashboard Improvements and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237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Improvement</w:t>
            </w:r>
          </w:p>
        </w:tc>
        <w:tc>
          <w:tcPr>
            <w:tcW w:type="dxa" w:w="352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Dashboard Evidence</w:t>
            </w:r>
          </w:p>
        </w:tc>
        <w:tc>
          <w:tcPr>
            <w:tcW w:type="dxa" w:w="475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Business Value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Failure-rate matrix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POS Bill Payment = 7.22%; USSD Transfer = 7.20%.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Highlights specific channel/transaction-type combinations with elevated failure rates instead of relying on one overall failure rate.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2F6FA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Normalized segment analysis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2F6FA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SME ≈ NGN 387.9K value/customer; Student ≈ 8.23 transactions/customer.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2F6FA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Prevents larger segments from appearing stronger simply because they contain more customers.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Monthly trend view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January 4,133 transactions; February 3,734; March 4,133. Transaction value recovered to ≈ NGN 196.20M in March.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Makes the February decline and March recovery visible to management.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2F6FA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Risk by amount band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2F6FA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NGN 200K+ transactions show a 40.54% risk-review rate.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2F6FA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Shows that review activity becomes much stronger at higher transaction values.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Digital engagement analysis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High engagement ≈ NGN 379.7K value/customer and 8.12 transactions/customer.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Adds a deeper customer-behaviour dimension while avoiding the claim that engagement alone determines activity.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>
              <w:rPr>
                <w:sz w:val="18"/>
              </w:rPr>
              <w:t>Segment drill-through page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Customer_Segment is configured as the drill-through field. The Segment Detail page filters KPI cards and channel/transaction-type visuals to the selected segment and includes back navigation.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Lets managers move from summary segment comparisons to focused segment-level detail without overcrowding the main dashboard pages.</w:t>
            </w:r>
          </w:p>
        </w:tc>
      </w:tr>
    </w:tbl>
    <w:p>
      <w:pPr>
        <w:spacing w:after="40"/>
      </w:pPr>
      <w:r>
        <w:t>Drill-through enhancement: A Segment Detail page was added using Customer_Segment as the drill-through field. When a user drills through from a segment such as SME, the page displays segment-specific KPI cards plus Transaction Value by Channel and Total Transactions by Transaction Type. This completes the planned interactive drill-through capability while keeping the main dashboard pages uncluttered.</w:t>
      </w:r>
    </w:p>
    <w:p>
      <w:pPr>
        <w:pStyle w:val="Heading1"/>
      </w:pPr>
      <w:r>
        <w:t>5. Validation of Dashboard Outputs</w:t>
      </w:r>
    </w:p>
    <w:p>
      <w:pPr>
        <w:spacing w:after="100"/>
      </w:pPr>
      <w:r>
        <w:t>Important Power BI outputs were checked against the Week 3 SQL and Python analyses. This cross-tool validation reduces the risk of dashboard calculations being interpreted without independent checks.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45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Dashboard Finding</w:t>
            </w:r>
          </w:p>
        </w:tc>
        <w:tc>
          <w:tcPr>
            <w:tcW w:type="dxa" w:w="374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Validation Source</w:t>
            </w:r>
          </w:p>
        </w:tc>
        <w:tc>
          <w:tcPr>
            <w:tcW w:type="dxa" w:w="338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February decline and March recovery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SQL monthly analysis + Python monthly summary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Supported; monthly counts and values aligned across tools.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2F6FA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Failure-rate hotspots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2F6FA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SQL Channel × Transaction Type analysis + Python heatmap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2F6FA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Supported; POS Bill Payment and USSD Transfer remained the highest-rate combinations.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Risk-review rate by amount band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SQL amount-band analysis + Python amount-band analysis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Supported; NGN 200K+ = 40.54% in all analyses.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2F6FA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Digital engagement and customer value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2F6FA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SQL engagement analysis + Python customer-level aggregation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2F6FA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Supported with nuance; value rises with engagement, while transaction frequency differences are modest.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Per-customer segment performance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SQL normalized segment analysis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Supported; SME led value/customer and Student led transaction frequency/customer.</w:t>
            </w:r>
          </w:p>
        </w:tc>
      </w:tr>
    </w:tbl>
    <w:p>
      <w:pPr>
        <w:spacing w:after="40"/>
      </w:pPr>
    </w:p>
    <w:p>
      <w:pPr>
        <w:pStyle w:val="Heading1"/>
      </w:pPr>
      <w:r>
        <w:t>6. Alignment with the Week 3 Development Direction</w:t>
      </w:r>
    </w:p>
    <w:p>
      <w:pPr>
        <w:spacing w:after="100"/>
      </w:pPr>
      <w:r>
        <w:t>The Week 3 development direction in the project plan called for movement from descriptive reporting toward deeper, decision-oriented analysis. The table below compares the planned direction with the work completed.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2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Planned Week 3 Development</w:t>
            </w:r>
          </w:p>
        </w:tc>
        <w:tc>
          <w:tcPr>
            <w:tcW w:type="dxa" w:w="525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Evidence from Completed Work</w:t>
            </w:r>
          </w:p>
        </w:tc>
        <w:tc>
          <w:tcPr>
            <w:tcW w:type="dxa" w:w="201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Assessment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Advanced SQL with CTEs, windows, rankings and comparative analysis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Eight advanced SQL analyses used CTEs, DENSE_RANK, LAG, NTILE, CASE, JOINs, aggregation and comparative analysis.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Met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2F6FA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Customer-level frequency, value and engagement analysis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2F6FA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Customer rankings, normalized segment measures, digital-engagement analyses and Power BI customer/segment page were completed.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2F6FA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Met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Month-over-month and category-level trend drivers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Month-over-month SQL analysis and monthly Power BI/Python trend analysis were completed; channel, type and segment comparisons provide category context.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Met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2F6FA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Interactive, decision-oriented dashboard with drill-through/drill-down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r>
              <w:rPr>
                <w:sz w:val="18"/>
              </w:rPr>
              <w:t>The dashboard uses slicers and cross-filtering and now includes a dedicated Segment Detail drill-through page. Users can drill through from a customer-segment data point to segment-specific KPI cards, transaction value by channel, and transactions by transaction type, then return using the back navigation control.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6FA"/>
          </w:tcPr>
          <w:p>
            <w:r>
              <w:rPr>
                <w:sz w:val="18"/>
              </w:rPr>
              <w:t>Met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Cross-tool validation and evidence-based recommendations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Major findings were validated across SQL, Python and Power BI; Part F recommendations were tied directly to validated evidence.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Met</w:t>
            </w:r>
          </w:p>
        </w:tc>
      </w:tr>
    </w:tbl>
    <w:p>
      <w:pPr>
        <w:spacing w:after="40"/>
      </w:pPr>
    </w:p>
    <w:p>
      <w:pPr>
        <w:keepNext/>
        <w:keepLines/>
      </w:pPr>
      <w:r>
        <w:t>Important note: The interactive requirement is now fully addressed. In addition to slicers and cross-filtering, the dashboard includes a dedicated Segment Detail drill-through page using Customer_Segment as the drill-through field. Users can move from a summary segment visual to filtered segment-level KPIs and transaction detail, then return using the page back navigation control.</w:t>
      </w:r>
    </w:p>
    <w:p>
      <w:pPr>
        <w:pStyle w:val="Heading1"/>
        <w:keepNext/>
      </w:pPr>
      <w:r>
        <w:t>7. Part D Completion Summary</w:t>
      </w:r>
    </w:p>
    <w:p>
      <w:pPr>
        <w:spacing w:after="100"/>
      </w:pPr>
      <w:r>
        <w:t>The Week 3 Power BI dashboard substantially develops the Week 2 version without discarding useful prior work. The dashboard now combines headline KPIs with deeper operational, customer, segment and risk-review analysis. New DAX measures and calculated columns support normalized comparisons and risk segmentation, while the principal outputs have been cross-checked against SQL and Python results. A dedicated Segment Detail drill-through page adds a focused interactive path from summary customer-segment analysis to segment-specific KPIs and transaction patterns.</w:t>
      </w:r>
    </w:p>
    <w:p>
      <w:r>
        <w:t>Overall assessment: the dashboard meets the Week 3 Part D expectations for KPI reporting, trend analysis, customer analysis, transaction analysis, risk-review analysis, slicers and meaningful interactivity. The addition of the Segment Detail drill-through page also fulfills the more ambitious Week 3 development direction for drill-through/drill-down functionality.</w:t>
      </w:r>
    </w:p>
    <w:sectPr w:rsidR="00FC693F" w:rsidRPr="0006063C" w:rsidSect="00034616">
      <w:footerReference w:type="default" r:id="rId9"/>
      <w:pgSz w:w="12240" w:h="15840"/>
      <w:pgMar w:top="893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464"/>
        <w:sz w:val="16"/>
      </w:rPr>
      <w:t>FinTrust Digital Bank | Week 3 Part D – Power BI Dashboard Development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