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01AEE" w14:textId="77777777" w:rsidR="00E538F7" w:rsidRDefault="00F341E1">
      <w:pPr>
        <w:spacing w:after="565" w:line="216" w:lineRule="auto"/>
        <w:ind w:right="7861" w:firstLine="81"/>
        <w:jc w:val="both"/>
      </w:pPr>
      <w:r>
        <w:rPr>
          <w:noProof/>
        </w:rPr>
        <w:drawing>
          <wp:anchor distT="0" distB="0" distL="114300" distR="114300" simplePos="0" relativeHeight="251658240" behindDoc="0" locked="0" layoutInCell="1" allowOverlap="0" wp14:anchorId="7AC85E07" wp14:editId="73CC3F2E">
            <wp:simplePos x="0" y="0"/>
            <wp:positionH relativeFrom="column">
              <wp:posOffset>0</wp:posOffset>
            </wp:positionH>
            <wp:positionV relativeFrom="paragraph">
              <wp:posOffset>16154</wp:posOffset>
            </wp:positionV>
            <wp:extent cx="513993" cy="555910"/>
            <wp:effectExtent l="0" t="0" r="0" b="0"/>
            <wp:wrapSquare wrapText="bothSides"/>
            <wp:docPr id="11365" name="Picture 11365"/>
            <wp:cNvGraphicFramePr/>
            <a:graphic xmlns:a="http://schemas.openxmlformats.org/drawingml/2006/main">
              <a:graphicData uri="http://schemas.openxmlformats.org/drawingml/2006/picture">
                <pic:pic xmlns:pic="http://schemas.openxmlformats.org/drawingml/2006/picture">
                  <pic:nvPicPr>
                    <pic:cNvPr id="11365" name="Picture 11365"/>
                    <pic:cNvPicPr/>
                  </pic:nvPicPr>
                  <pic:blipFill>
                    <a:blip r:embed="rId6"/>
                    <a:stretch>
                      <a:fillRect/>
                    </a:stretch>
                  </pic:blipFill>
                  <pic:spPr>
                    <a:xfrm>
                      <a:off x="0" y="0"/>
                      <a:ext cx="513993" cy="555910"/>
                    </a:xfrm>
                    <a:prstGeom prst="rect">
                      <a:avLst/>
                    </a:prstGeom>
                  </pic:spPr>
                </pic:pic>
              </a:graphicData>
            </a:graphic>
          </wp:anchor>
        </w:drawing>
      </w:r>
      <w:r>
        <w:rPr>
          <w:sz w:val="32"/>
        </w:rPr>
        <w:t xml:space="preserve">m passeio multifacetado pela perspectiva queer, aplicado a diversos campou territórios em que frutificam </w:t>
      </w:r>
      <w:proofErr w:type="spellStart"/>
      <w:r>
        <w:rPr>
          <w:sz w:val="32"/>
        </w:rPr>
        <w:t>conhecimenti</w:t>
      </w:r>
      <w:proofErr w:type="spellEnd"/>
      <w:r>
        <w:rPr>
          <w:sz w:val="32"/>
        </w:rPr>
        <w:t xml:space="preserve"> libertadores, de maneira fluida e reflexiva, uma que as escritas aqui nos ocupam, em confronto• diretos, com a heteronormatividade cis bra</w:t>
      </w:r>
      <w:r>
        <w:rPr>
          <w:sz w:val="32"/>
        </w:rPr>
        <w:t xml:space="preserve">nca e </w:t>
      </w:r>
      <w:proofErr w:type="spellStart"/>
      <w:r>
        <w:rPr>
          <w:sz w:val="32"/>
        </w:rPr>
        <w:t>eurocentrada</w:t>
      </w:r>
      <w:proofErr w:type="spellEnd"/>
      <w:r>
        <w:rPr>
          <w:sz w:val="32"/>
        </w:rPr>
        <w:t xml:space="preserve">. É mais do que um convite: uma proposta de mergulho ante o inusitado, </w:t>
      </w:r>
      <w:proofErr w:type="gramStart"/>
      <w:r>
        <w:rPr>
          <w:sz w:val="32"/>
        </w:rPr>
        <w:t xml:space="preserve">O </w:t>
      </w:r>
      <w:proofErr w:type="spellStart"/>
      <w:r>
        <w:rPr>
          <w:sz w:val="32"/>
        </w:rPr>
        <w:t>o</w:t>
      </w:r>
      <w:proofErr w:type="spellEnd"/>
      <w:proofErr w:type="gramEnd"/>
      <w:r>
        <w:rPr>
          <w:sz w:val="32"/>
        </w:rPr>
        <w:t xml:space="preserve">) aprendendo a nadar pela e com a vida em </w:t>
      </w:r>
      <w:proofErr w:type="spellStart"/>
      <w:r>
        <w:rPr>
          <w:sz w:val="32"/>
        </w:rPr>
        <w:t>suag</w:t>
      </w:r>
      <w:proofErr w:type="spellEnd"/>
      <w:r>
        <w:rPr>
          <w:sz w:val="32"/>
        </w:rPr>
        <w:t xml:space="preserve"> diversas possibilidades.</w:t>
      </w:r>
    </w:p>
    <w:p w14:paraId="1AD5F87A" w14:textId="77777777" w:rsidR="00E538F7" w:rsidRDefault="00F341E1">
      <w:pPr>
        <w:spacing w:after="218" w:line="216" w:lineRule="auto"/>
        <w:ind w:left="173" w:right="8329" w:firstLine="423"/>
        <w:jc w:val="both"/>
      </w:pPr>
      <w:r>
        <w:rPr>
          <w:noProof/>
        </w:rPr>
        <w:drawing>
          <wp:anchor distT="0" distB="0" distL="114300" distR="114300" simplePos="0" relativeHeight="251659264" behindDoc="0" locked="0" layoutInCell="1" allowOverlap="0" wp14:anchorId="7DA0C5A9" wp14:editId="1BCBF1A3">
            <wp:simplePos x="0" y="0"/>
            <wp:positionH relativeFrom="page">
              <wp:posOffset>3145376</wp:posOffset>
            </wp:positionH>
            <wp:positionV relativeFrom="page">
              <wp:posOffset>0</wp:posOffset>
            </wp:positionV>
            <wp:extent cx="7535325" cy="7359346"/>
            <wp:effectExtent l="0" t="0" r="0" b="0"/>
            <wp:wrapSquare wrapText="bothSides"/>
            <wp:docPr id="73576" name="Picture 73576"/>
            <wp:cNvGraphicFramePr/>
            <a:graphic xmlns:a="http://schemas.openxmlformats.org/drawingml/2006/main">
              <a:graphicData uri="http://schemas.openxmlformats.org/drawingml/2006/picture">
                <pic:pic xmlns:pic="http://schemas.openxmlformats.org/drawingml/2006/picture">
                  <pic:nvPicPr>
                    <pic:cNvPr id="73576" name="Picture 73576"/>
                    <pic:cNvPicPr/>
                  </pic:nvPicPr>
                  <pic:blipFill>
                    <a:blip r:embed="rId7"/>
                    <a:stretch>
                      <a:fillRect/>
                    </a:stretch>
                  </pic:blipFill>
                  <pic:spPr>
                    <a:xfrm>
                      <a:off x="0" y="0"/>
                      <a:ext cx="7535325" cy="7359346"/>
                    </a:xfrm>
                    <a:prstGeom prst="rect">
                      <a:avLst/>
                    </a:prstGeom>
                  </pic:spPr>
                </pic:pic>
              </a:graphicData>
            </a:graphic>
          </wp:anchor>
        </w:drawing>
      </w:r>
      <w:r>
        <w:rPr>
          <w:rFonts w:ascii="Times New Roman" w:eastAsia="Times New Roman" w:hAnsi="Times New Roman" w:cs="Times New Roman"/>
        </w:rPr>
        <w:t>Queer, como toda 'teoria viajante", assume novas em uma outra língua. Traduzira palavra não</w:t>
      </w:r>
      <w:r>
        <w:rPr>
          <w:rFonts w:ascii="Times New Roman" w:eastAsia="Times New Roman" w:hAnsi="Times New Roman" w:cs="Times New Roman"/>
        </w:rPr>
        <w:t xml:space="preserve"> </w:t>
      </w:r>
      <w:proofErr w:type="spellStart"/>
      <w:r>
        <w:rPr>
          <w:rFonts w:ascii="Times New Roman" w:eastAsia="Times New Roman" w:hAnsi="Times New Roman" w:cs="Times New Roman"/>
        </w:rPr>
        <w:t>ó</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quentan</w:t>
      </w:r>
      <w:proofErr w:type="spellEnd"/>
      <w:r>
        <w:rPr>
          <w:rFonts w:ascii="Times New Roman" w:eastAsia="Times New Roman" w:hAnsi="Times New Roman" w:cs="Times New Roman"/>
        </w:rPr>
        <w:t xml:space="preserve"> importante, mas sim a </w:t>
      </w:r>
      <w:r>
        <w:rPr>
          <w:rFonts w:ascii="Times New Roman" w:eastAsia="Times New Roman" w:hAnsi="Times New Roman" w:cs="Times New Roman"/>
        </w:rPr>
        <w:lastRenderedPageBreak/>
        <w:t>relevância e equivalência da seja, podemos pensar de que maneiras queer podo perspectivas para a nossa compreensão das nossas</w:t>
      </w:r>
    </w:p>
    <w:p w14:paraId="1DAA15E5" w14:textId="77777777" w:rsidR="00E538F7" w:rsidRDefault="00F341E1">
      <w:pPr>
        <w:spacing w:after="2697" w:line="225" w:lineRule="auto"/>
        <w:ind w:left="2866"/>
        <w:jc w:val="both"/>
      </w:pPr>
      <w:r>
        <w:rPr>
          <w:sz w:val="20"/>
        </w:rPr>
        <w:t xml:space="preserve">(João </w:t>
      </w:r>
      <w:proofErr w:type="spellStart"/>
      <w:r>
        <w:rPr>
          <w:sz w:val="20"/>
        </w:rPr>
        <w:t>Nemi</w:t>
      </w:r>
      <w:proofErr w:type="spellEnd"/>
      <w:r>
        <w:rPr>
          <w:sz w:val="20"/>
        </w:rPr>
        <w:t xml:space="preserve"> Neto </w:t>
      </w:r>
      <w:proofErr w:type="gramStart"/>
      <w:r>
        <w:rPr>
          <w:sz w:val="20"/>
        </w:rPr>
        <w:t>COI(</w:t>
      </w:r>
      <w:proofErr w:type="spellStart"/>
      <w:proofErr w:type="gramEnd"/>
      <w:r>
        <w:rPr>
          <w:sz w:val="20"/>
        </w:rPr>
        <w:t>iiiit'ia</w:t>
      </w:r>
      <w:proofErr w:type="spellEnd"/>
    </w:p>
    <w:p w14:paraId="2116C72A" w14:textId="77777777" w:rsidR="00E538F7" w:rsidRDefault="00F341E1">
      <w:pPr>
        <w:pStyle w:val="Ttulo1"/>
        <w:spacing w:after="0"/>
        <w:ind w:left="2143" w:right="9551" w:hanging="5"/>
      </w:pPr>
      <w:r>
        <w:rPr>
          <w:rFonts w:ascii="Times New Roman" w:eastAsia="Times New Roman" w:hAnsi="Times New Roman" w:cs="Times New Roman"/>
        </w:rPr>
        <w:t xml:space="preserve">"editora» </w:t>
      </w:r>
      <w:r>
        <w:t>DEVIRES</w:t>
      </w:r>
    </w:p>
    <w:p w14:paraId="01E348FD" w14:textId="77777777" w:rsidR="00E538F7" w:rsidRDefault="00E538F7">
      <w:pPr>
        <w:sectPr w:rsidR="00E538F7">
          <w:footnotePr>
            <w:numRestart w:val="eachPage"/>
          </w:footnotePr>
          <w:pgSz w:w="16820" w:h="11900" w:orient="landscape"/>
          <w:pgMar w:top="1440" w:right="1440" w:bottom="1440" w:left="1471" w:header="720" w:footer="720" w:gutter="0"/>
          <w:cols w:space="720"/>
        </w:sectPr>
      </w:pPr>
    </w:p>
    <w:p w14:paraId="0773C444" w14:textId="77777777" w:rsidR="00E538F7" w:rsidRDefault="00F341E1">
      <w:pPr>
        <w:spacing w:after="112" w:line="225" w:lineRule="auto"/>
        <w:ind w:left="16"/>
        <w:jc w:val="both"/>
      </w:pPr>
      <w:r>
        <w:rPr>
          <w:sz w:val="20"/>
        </w:rPr>
        <w:t xml:space="preserve">PLATERO, R L </w:t>
      </w:r>
      <w:proofErr w:type="spellStart"/>
      <w:r>
        <w:rPr>
          <w:sz w:val="20"/>
        </w:rPr>
        <w:t>Pedagogías</w:t>
      </w:r>
      <w:proofErr w:type="spellEnd"/>
      <w:r>
        <w:rPr>
          <w:sz w:val="20"/>
        </w:rPr>
        <w:t xml:space="preserve"> trans*f</w:t>
      </w:r>
      <w:r>
        <w:rPr>
          <w:sz w:val="20"/>
        </w:rPr>
        <w:t xml:space="preserve">ormadoras: </w:t>
      </w:r>
      <w:proofErr w:type="gramStart"/>
      <w:r>
        <w:rPr>
          <w:sz w:val="20"/>
        </w:rPr>
        <w:t>politicas</w:t>
      </w:r>
      <w:proofErr w:type="gramEnd"/>
      <w:r>
        <w:rPr>
          <w:sz w:val="20"/>
        </w:rPr>
        <w:t xml:space="preserve">, </w:t>
      </w:r>
      <w:proofErr w:type="spellStart"/>
      <w:r>
        <w:rPr>
          <w:sz w:val="20"/>
        </w:rPr>
        <w:t>prácticasypedagogias</w:t>
      </w:r>
      <w:proofErr w:type="spellEnd"/>
      <w:r>
        <w:rPr>
          <w:sz w:val="20"/>
        </w:rPr>
        <w:t xml:space="preserve"> trans. Barcelona: UOC.2015</w:t>
      </w:r>
    </w:p>
    <w:p w14:paraId="7F3D1A93" w14:textId="77777777" w:rsidR="00E538F7" w:rsidRDefault="00F341E1">
      <w:pPr>
        <w:spacing w:after="133" w:line="221" w:lineRule="auto"/>
        <w:ind w:left="31" w:firstLine="10"/>
      </w:pPr>
      <w:r>
        <w:rPr>
          <w:sz w:val="20"/>
        </w:rPr>
        <w:t>PEREZ, Moira. Acerca de Ia pregunta ¿</w:t>
      </w:r>
      <w:proofErr w:type="spellStart"/>
      <w:r>
        <w:rPr>
          <w:sz w:val="20"/>
        </w:rPr>
        <w:t>Qué</w:t>
      </w:r>
      <w:proofErr w:type="spellEnd"/>
      <w:r>
        <w:rPr>
          <w:sz w:val="20"/>
        </w:rPr>
        <w:t xml:space="preserve"> es Io queer? Teoria Queer, ¿para </w:t>
      </w:r>
      <w:proofErr w:type="spellStart"/>
      <w:proofErr w:type="gramStart"/>
      <w:r>
        <w:rPr>
          <w:sz w:val="20"/>
        </w:rPr>
        <w:t>qué</w:t>
      </w:r>
      <w:proofErr w:type="spellEnd"/>
      <w:r>
        <w:rPr>
          <w:sz w:val="20"/>
        </w:rPr>
        <w:t>?.</w:t>
      </w:r>
      <w:proofErr w:type="gramEnd"/>
      <w:r>
        <w:rPr>
          <w:sz w:val="20"/>
        </w:rPr>
        <w:t xml:space="preserve"> Disponível em: http://economiafeminita.com/ acerca-de-</w:t>
      </w:r>
      <w:proofErr w:type="spellStart"/>
      <w:r>
        <w:rPr>
          <w:sz w:val="20"/>
        </w:rPr>
        <w:t>la</w:t>
      </w:r>
      <w:proofErr w:type="spellEnd"/>
      <w:r>
        <w:rPr>
          <w:sz w:val="20"/>
        </w:rPr>
        <w:t>-pregunta-que-es-</w:t>
      </w:r>
      <w:proofErr w:type="spellStart"/>
      <w:r>
        <w:rPr>
          <w:sz w:val="20"/>
        </w:rPr>
        <w:t>lo</w:t>
      </w:r>
      <w:proofErr w:type="spellEnd"/>
      <w:r>
        <w:rPr>
          <w:sz w:val="20"/>
        </w:rPr>
        <w:t>-queer/</w:t>
      </w:r>
    </w:p>
    <w:p w14:paraId="6631813C" w14:textId="77777777" w:rsidR="00E538F7" w:rsidRDefault="00F341E1">
      <w:pPr>
        <w:spacing w:after="135" w:line="217" w:lineRule="auto"/>
        <w:ind w:left="16" w:right="10"/>
        <w:jc w:val="both"/>
      </w:pPr>
      <w:r>
        <w:t>ISEL, 5, 184-198. Dispo</w:t>
      </w:r>
      <w:r>
        <w:t xml:space="preserve">nível </w:t>
      </w:r>
      <w:proofErr w:type="spellStart"/>
      <w:r>
        <w:t>em:http</w:t>
      </w:r>
      <w:proofErr w:type="spellEnd"/>
      <w:r>
        <w:t>://economiafeminita.com/ acerca-de-</w:t>
      </w:r>
      <w:proofErr w:type="spellStart"/>
      <w:r>
        <w:t>la</w:t>
      </w:r>
      <w:proofErr w:type="spellEnd"/>
      <w:r>
        <w:t>-pregunta-que-es-</w:t>
      </w:r>
      <w:proofErr w:type="spellStart"/>
      <w:r>
        <w:t>lo</w:t>
      </w:r>
      <w:proofErr w:type="spellEnd"/>
      <w:r>
        <w:t>-queer/</w:t>
      </w:r>
    </w:p>
    <w:p w14:paraId="1437D7DB" w14:textId="77777777" w:rsidR="00E538F7" w:rsidRDefault="00F341E1">
      <w:pPr>
        <w:spacing w:after="112" w:line="225" w:lineRule="auto"/>
        <w:ind w:left="16"/>
        <w:jc w:val="both"/>
      </w:pPr>
      <w:r>
        <w:rPr>
          <w:sz w:val="20"/>
        </w:rPr>
        <w:t xml:space="preserve">PRECIADO, Beatriz Entrevista a </w:t>
      </w:r>
      <w:proofErr w:type="spellStart"/>
      <w:r>
        <w:rPr>
          <w:sz w:val="20"/>
        </w:rPr>
        <w:t>Jesús</w:t>
      </w:r>
      <w:proofErr w:type="spellEnd"/>
      <w:r>
        <w:rPr>
          <w:sz w:val="20"/>
        </w:rPr>
        <w:t xml:space="preserve"> </w:t>
      </w:r>
      <w:proofErr w:type="spellStart"/>
      <w:r>
        <w:rPr>
          <w:sz w:val="20"/>
        </w:rPr>
        <w:t>Carrillo</w:t>
      </w:r>
      <w:proofErr w:type="spellEnd"/>
      <w:r>
        <w:rPr>
          <w:sz w:val="20"/>
        </w:rPr>
        <w:t xml:space="preserve">. In: Cadernos </w:t>
      </w:r>
      <w:proofErr w:type="spellStart"/>
      <w:r>
        <w:rPr>
          <w:sz w:val="20"/>
        </w:rPr>
        <w:t>Pagu</w:t>
      </w:r>
      <w:proofErr w:type="spellEnd"/>
      <w:r>
        <w:rPr>
          <w:sz w:val="20"/>
        </w:rPr>
        <w:t xml:space="preserve">. Campinas: Núcleo de Estudos de Gênero </w:t>
      </w:r>
      <w:proofErr w:type="spellStart"/>
      <w:r>
        <w:rPr>
          <w:sz w:val="20"/>
        </w:rPr>
        <w:t>Pagu</w:t>
      </w:r>
      <w:proofErr w:type="spellEnd"/>
      <w:r>
        <w:rPr>
          <w:sz w:val="20"/>
        </w:rPr>
        <w:t>, 2007. v.28 p.375-405</w:t>
      </w:r>
    </w:p>
    <w:p w14:paraId="3D60A61B" w14:textId="77777777" w:rsidR="00E538F7" w:rsidRDefault="00F341E1">
      <w:pPr>
        <w:spacing w:after="165" w:line="225" w:lineRule="auto"/>
        <w:ind w:left="16"/>
        <w:jc w:val="both"/>
      </w:pPr>
      <w:r>
        <w:rPr>
          <w:noProof/>
        </w:rPr>
        <w:drawing>
          <wp:inline distT="0" distB="0" distL="0" distR="0" wp14:anchorId="7A01BCD3" wp14:editId="2FB5D6DA">
            <wp:extent cx="749977" cy="38784"/>
            <wp:effectExtent l="0" t="0" r="0" b="0"/>
            <wp:docPr id="14244" name="Picture 14244"/>
            <wp:cNvGraphicFramePr/>
            <a:graphic xmlns:a="http://schemas.openxmlformats.org/drawingml/2006/main">
              <a:graphicData uri="http://schemas.openxmlformats.org/drawingml/2006/picture">
                <pic:pic xmlns:pic="http://schemas.openxmlformats.org/drawingml/2006/picture">
                  <pic:nvPicPr>
                    <pic:cNvPr id="14244" name="Picture 14244"/>
                    <pic:cNvPicPr/>
                  </pic:nvPicPr>
                  <pic:blipFill>
                    <a:blip r:embed="rId8"/>
                    <a:stretch>
                      <a:fillRect/>
                    </a:stretch>
                  </pic:blipFill>
                  <pic:spPr>
                    <a:xfrm>
                      <a:off x="0" y="0"/>
                      <a:ext cx="749977" cy="38784"/>
                    </a:xfrm>
                    <a:prstGeom prst="rect">
                      <a:avLst/>
                    </a:prstGeom>
                  </pic:spPr>
                </pic:pic>
              </a:graphicData>
            </a:graphic>
          </wp:inline>
        </w:drawing>
      </w:r>
      <w:r>
        <w:rPr>
          <w:sz w:val="20"/>
        </w:rPr>
        <w:t>Multidões queer: notas para uma política dos "a</w:t>
      </w:r>
      <w:r>
        <w:rPr>
          <w:sz w:val="20"/>
        </w:rPr>
        <w:t>normais". Revista Estudos Feministas, v. 19, n. 1, p. 11-20, 2011.</w:t>
      </w:r>
    </w:p>
    <w:p w14:paraId="3FD12077" w14:textId="77777777" w:rsidR="00E538F7" w:rsidRDefault="00F341E1">
      <w:pPr>
        <w:spacing w:after="164" w:line="225" w:lineRule="auto"/>
        <w:ind w:left="16"/>
        <w:jc w:val="both"/>
      </w:pPr>
      <w:r>
        <w:rPr>
          <w:sz w:val="20"/>
        </w:rPr>
        <w:t>RODRIGUES, Gabriela de A Pedagogias queer e libertária para educação em cultura visual. Revista Educação e Pesquisa, São Paulo, v,36, n.3, p, 735-745, set./dez. 2010</w:t>
      </w:r>
    </w:p>
    <w:p w14:paraId="54D75A15" w14:textId="77777777" w:rsidR="00E538F7" w:rsidRDefault="00F341E1">
      <w:pPr>
        <w:spacing w:after="0" w:line="216" w:lineRule="auto"/>
        <w:jc w:val="center"/>
      </w:pPr>
      <w:r>
        <w:rPr>
          <w:sz w:val="20"/>
        </w:rPr>
        <w:t>SAÉZ, Javier, PRECIADO, Beatriz, Prólogo (</w:t>
      </w:r>
      <w:proofErr w:type="spellStart"/>
      <w:r>
        <w:rPr>
          <w:sz w:val="20"/>
        </w:rPr>
        <w:t>Lenguaje</w:t>
      </w:r>
      <w:proofErr w:type="spellEnd"/>
      <w:r>
        <w:rPr>
          <w:sz w:val="20"/>
        </w:rPr>
        <w:t xml:space="preserve">, poder e identidade). In: BUTLER, Judith. </w:t>
      </w:r>
      <w:proofErr w:type="spellStart"/>
      <w:r>
        <w:rPr>
          <w:sz w:val="20"/>
        </w:rPr>
        <w:t>Lenguaje</w:t>
      </w:r>
      <w:proofErr w:type="spellEnd"/>
      <w:r>
        <w:rPr>
          <w:sz w:val="20"/>
        </w:rPr>
        <w:t xml:space="preserve">, poder e identidade, Madrid: Editorial </w:t>
      </w:r>
      <w:proofErr w:type="spellStart"/>
      <w:r>
        <w:rPr>
          <w:sz w:val="20"/>
        </w:rPr>
        <w:t>Sintesis</w:t>
      </w:r>
      <w:proofErr w:type="spellEnd"/>
    </w:p>
    <w:p w14:paraId="64A7C433" w14:textId="77777777" w:rsidR="00E538F7" w:rsidRDefault="00F341E1">
      <w:pPr>
        <w:spacing w:after="134"/>
        <w:ind w:left="15" w:right="5" w:hanging="10"/>
        <w:jc w:val="both"/>
      </w:pPr>
      <w:r>
        <w:rPr>
          <w:rFonts w:ascii="Times New Roman" w:eastAsia="Times New Roman" w:hAnsi="Times New Roman" w:cs="Times New Roman"/>
          <w:sz w:val="20"/>
        </w:rPr>
        <w:t>SA, 199Z</w:t>
      </w:r>
    </w:p>
    <w:p w14:paraId="131EB9F0" w14:textId="77777777" w:rsidR="00E538F7" w:rsidRDefault="00F341E1">
      <w:pPr>
        <w:spacing w:after="105" w:line="217" w:lineRule="auto"/>
        <w:ind w:left="16" w:right="10"/>
        <w:jc w:val="both"/>
      </w:pPr>
      <w:r>
        <w:t>SÁNCHEZ-</w:t>
      </w:r>
      <w:proofErr w:type="spellStart"/>
      <w:r>
        <w:t>Sáinz</w:t>
      </w:r>
      <w:proofErr w:type="spellEnd"/>
      <w:r>
        <w:t>, M. (</w:t>
      </w:r>
      <w:proofErr w:type="spellStart"/>
      <w:r>
        <w:t>coord</w:t>
      </w:r>
      <w:proofErr w:type="spellEnd"/>
      <w:r>
        <w:t xml:space="preserve">), </w:t>
      </w:r>
      <w:proofErr w:type="spellStart"/>
      <w:r>
        <w:t>Cómo</w:t>
      </w:r>
      <w:proofErr w:type="spellEnd"/>
      <w:r>
        <w:t xml:space="preserve"> educar </w:t>
      </w:r>
      <w:proofErr w:type="spellStart"/>
      <w:r>
        <w:t>en</w:t>
      </w:r>
      <w:proofErr w:type="spellEnd"/>
      <w:r>
        <w:t xml:space="preserve"> Ia </w:t>
      </w:r>
      <w:proofErr w:type="spellStart"/>
      <w:r>
        <w:t>diversidad</w:t>
      </w:r>
      <w:proofErr w:type="spellEnd"/>
      <w:r>
        <w:t xml:space="preserve"> </w:t>
      </w:r>
      <w:proofErr w:type="spellStart"/>
      <w:r>
        <w:t>afectivo-sexual</w:t>
      </w:r>
      <w:proofErr w:type="spellEnd"/>
      <w:r>
        <w:t xml:space="preserve"> </w:t>
      </w:r>
      <w:proofErr w:type="spellStart"/>
      <w:r>
        <w:t>en</w:t>
      </w:r>
      <w:proofErr w:type="spellEnd"/>
      <w:r>
        <w:t xml:space="preserve"> </w:t>
      </w:r>
      <w:proofErr w:type="spellStart"/>
      <w:r>
        <w:t>loscentros</w:t>
      </w:r>
      <w:proofErr w:type="spellEnd"/>
      <w:r>
        <w:t xml:space="preserve"> escolares </w:t>
      </w:r>
      <w:proofErr w:type="spellStart"/>
      <w:r>
        <w:t>O</w:t>
      </w:r>
      <w:r>
        <w:t>rientaciones</w:t>
      </w:r>
      <w:proofErr w:type="spellEnd"/>
      <w:r>
        <w:t xml:space="preserve"> </w:t>
      </w:r>
      <w:proofErr w:type="spellStart"/>
      <w:r>
        <w:t>prácticaspara</w:t>
      </w:r>
      <w:proofErr w:type="spellEnd"/>
      <w:r>
        <w:t xml:space="preserve"> Ia ESO. Madrid: La Catarata2009</w:t>
      </w:r>
    </w:p>
    <w:p w14:paraId="1CCFE4C3" w14:textId="77777777" w:rsidR="00E538F7" w:rsidRDefault="00F341E1">
      <w:pPr>
        <w:spacing w:after="105" w:line="217" w:lineRule="auto"/>
        <w:ind w:left="16" w:right="10"/>
        <w:jc w:val="both"/>
      </w:pPr>
      <w:r>
        <w:t xml:space="preserve">SANTOS FILHQ </w:t>
      </w:r>
      <w:proofErr w:type="spellStart"/>
      <w:r>
        <w:t>Ismar</w:t>
      </w:r>
      <w:proofErr w:type="spellEnd"/>
      <w:r>
        <w:t xml:space="preserve"> Inácio. Linguística Queer - para além da língua(</w:t>
      </w:r>
      <w:proofErr w:type="spellStart"/>
      <w:r>
        <w:t>gem</w:t>
      </w:r>
      <w:proofErr w:type="spellEnd"/>
      <w:r>
        <w:t xml:space="preserve">) como expressão do lugar do falante, In: SILVA, </w:t>
      </w:r>
      <w:proofErr w:type="spellStart"/>
      <w:r>
        <w:t>Antonio</w:t>
      </w:r>
      <w:proofErr w:type="spellEnd"/>
      <w:r>
        <w:t xml:space="preserve"> de Pádua Dias da (Org.</w:t>
      </w:r>
      <w:proofErr w:type="gramStart"/>
      <w:r>
        <w:t>).</w:t>
      </w:r>
      <w:proofErr w:type="spellStart"/>
      <w:r>
        <w:t>Escrit</w:t>
      </w:r>
      <w:proofErr w:type="gramEnd"/>
      <w:r>
        <w:t>@s</w:t>
      </w:r>
      <w:proofErr w:type="spellEnd"/>
      <w:r>
        <w:t xml:space="preserve"> sobre gênero e sexualidades São Paulo</w:t>
      </w:r>
      <w:r>
        <w:t xml:space="preserve">: </w:t>
      </w:r>
      <w:proofErr w:type="spellStart"/>
      <w:r>
        <w:t>ScortecciEditora</w:t>
      </w:r>
      <w:proofErr w:type="spellEnd"/>
      <w:r>
        <w:t>/Fábrica de Livros, 2015.</w:t>
      </w:r>
    </w:p>
    <w:p w14:paraId="6E87C5A2" w14:textId="77777777" w:rsidR="00E538F7" w:rsidRDefault="00F341E1">
      <w:pPr>
        <w:spacing w:after="112" w:line="225" w:lineRule="auto"/>
        <w:ind w:left="16"/>
        <w:jc w:val="both"/>
      </w:pPr>
      <w:r>
        <w:rPr>
          <w:sz w:val="20"/>
        </w:rPr>
        <w:t>SILVA, Tomaz Tadeu. Documentos de identidade: uma introdução às teorias do currículo. Belo Horizonte: Autêntica, 2004</w:t>
      </w:r>
    </w:p>
    <w:p w14:paraId="69B5CBEA" w14:textId="77777777" w:rsidR="00E538F7" w:rsidRDefault="00F341E1">
      <w:pPr>
        <w:spacing w:after="112" w:line="225" w:lineRule="auto"/>
        <w:ind w:left="16"/>
        <w:jc w:val="both"/>
      </w:pPr>
      <w:r>
        <w:rPr>
          <w:sz w:val="20"/>
        </w:rPr>
        <w:t xml:space="preserve">SPARGO, </w:t>
      </w:r>
      <w:proofErr w:type="spellStart"/>
      <w:r>
        <w:rPr>
          <w:sz w:val="20"/>
        </w:rPr>
        <w:t>Tamsin</w:t>
      </w:r>
      <w:proofErr w:type="spellEnd"/>
      <w:r>
        <w:rPr>
          <w:sz w:val="20"/>
        </w:rPr>
        <w:t xml:space="preserve">. Foucault e a teoria </w:t>
      </w:r>
      <w:proofErr w:type="spellStart"/>
      <w:r>
        <w:rPr>
          <w:sz w:val="20"/>
        </w:rPr>
        <w:t>queer.l</w:t>
      </w:r>
      <w:proofErr w:type="spellEnd"/>
      <w:r>
        <w:rPr>
          <w:sz w:val="20"/>
        </w:rPr>
        <w:t>. ed. Belo Horizonte: Autêntica Editora, 2017</w:t>
      </w:r>
    </w:p>
    <w:p w14:paraId="7E5CB7C8" w14:textId="77777777" w:rsidR="00E538F7" w:rsidRDefault="00F341E1">
      <w:pPr>
        <w:spacing w:after="1865" w:line="225" w:lineRule="auto"/>
        <w:ind w:left="16"/>
        <w:jc w:val="both"/>
      </w:pPr>
      <w:r>
        <w:rPr>
          <w:sz w:val="20"/>
        </w:rPr>
        <w:t>TRUJI</w:t>
      </w:r>
      <w:r>
        <w:rPr>
          <w:sz w:val="20"/>
        </w:rPr>
        <w:t>LLO-</w:t>
      </w:r>
      <w:proofErr w:type="spellStart"/>
      <w:r>
        <w:rPr>
          <w:sz w:val="20"/>
        </w:rPr>
        <w:t>BarbadifIo</w:t>
      </w:r>
      <w:proofErr w:type="spellEnd"/>
      <w:r>
        <w:rPr>
          <w:sz w:val="20"/>
        </w:rPr>
        <w:t xml:space="preserve">, G. (2015), Pensar desde </w:t>
      </w:r>
      <w:proofErr w:type="spellStart"/>
      <w:r>
        <w:rPr>
          <w:sz w:val="20"/>
        </w:rPr>
        <w:t>otro</w:t>
      </w:r>
      <w:proofErr w:type="spellEnd"/>
      <w:r>
        <w:rPr>
          <w:sz w:val="20"/>
        </w:rPr>
        <w:t xml:space="preserve"> lugar, pensar Io </w:t>
      </w:r>
      <w:proofErr w:type="spellStart"/>
      <w:r>
        <w:rPr>
          <w:sz w:val="20"/>
        </w:rPr>
        <w:t>impensable</w:t>
      </w:r>
      <w:proofErr w:type="spellEnd"/>
      <w:r>
        <w:rPr>
          <w:sz w:val="20"/>
        </w:rPr>
        <w:t xml:space="preserve">: </w:t>
      </w:r>
      <w:proofErr w:type="spellStart"/>
      <w:r>
        <w:rPr>
          <w:sz w:val="20"/>
        </w:rPr>
        <w:t>hacia</w:t>
      </w:r>
      <w:proofErr w:type="spellEnd"/>
      <w:r>
        <w:rPr>
          <w:sz w:val="20"/>
        </w:rPr>
        <w:t xml:space="preserve"> una pedagogia queer• Revista </w:t>
      </w:r>
      <w:proofErr w:type="spellStart"/>
      <w:r>
        <w:rPr>
          <w:sz w:val="20"/>
        </w:rPr>
        <w:t>Educacao</w:t>
      </w:r>
      <w:proofErr w:type="spellEnd"/>
      <w:r>
        <w:rPr>
          <w:sz w:val="20"/>
        </w:rPr>
        <w:t xml:space="preserve"> y Pesquisa (Especial), </w:t>
      </w:r>
      <w:r>
        <w:rPr>
          <w:rFonts w:ascii="Times New Roman" w:eastAsia="Times New Roman" w:hAnsi="Times New Roman" w:cs="Times New Roman"/>
          <w:sz w:val="20"/>
        </w:rPr>
        <w:t>152721540.</w:t>
      </w:r>
    </w:p>
    <w:p w14:paraId="46036373" w14:textId="77777777" w:rsidR="00E538F7" w:rsidRDefault="00F341E1">
      <w:pPr>
        <w:spacing w:after="0"/>
        <w:ind w:right="61"/>
        <w:jc w:val="center"/>
      </w:pPr>
      <w:r>
        <w:rPr>
          <w:rFonts w:ascii="Times New Roman" w:eastAsia="Times New Roman" w:hAnsi="Times New Roman" w:cs="Times New Roman"/>
          <w:sz w:val="20"/>
        </w:rPr>
        <w:lastRenderedPageBreak/>
        <w:t>106</w:t>
      </w:r>
    </w:p>
    <w:p w14:paraId="0B0B0CEB" w14:textId="77777777" w:rsidR="00E538F7" w:rsidRDefault="00F341E1">
      <w:pPr>
        <w:pStyle w:val="Ttulo1"/>
      </w:pPr>
      <w:r>
        <w:t>CAMINHOS DA INTERSECCIONALIDADE CRUZANDO AS AVENIDAS IDENTITÁRIAS</w:t>
      </w:r>
    </w:p>
    <w:p w14:paraId="41FB5A8E" w14:textId="77777777" w:rsidR="00E538F7" w:rsidRDefault="00F341E1">
      <w:pPr>
        <w:spacing w:after="3" w:line="265" w:lineRule="auto"/>
        <w:ind w:left="1929" w:right="1151" w:hanging="10"/>
        <w:jc w:val="both"/>
      </w:pPr>
      <w:r>
        <w:rPr>
          <w:sz w:val="18"/>
        </w:rPr>
        <w:t>Wesley Sousa Rodrigues"!</w:t>
      </w:r>
    </w:p>
    <w:p w14:paraId="62CDC27D" w14:textId="77777777" w:rsidR="00E538F7" w:rsidRDefault="00F341E1">
      <w:pPr>
        <w:spacing w:after="843" w:line="265" w:lineRule="auto"/>
        <w:ind w:left="1043" w:right="1151" w:hanging="10"/>
        <w:jc w:val="both"/>
      </w:pPr>
      <w:r>
        <w:rPr>
          <w:sz w:val="18"/>
        </w:rPr>
        <w:t>Universid</w:t>
      </w:r>
      <w:r>
        <w:rPr>
          <w:sz w:val="18"/>
        </w:rPr>
        <w:t>ade Federal Rural de Pernambuco (UFRPE)</w:t>
      </w:r>
    </w:p>
    <w:p w14:paraId="0AAB2B80" w14:textId="77777777" w:rsidR="00E538F7" w:rsidRDefault="00F341E1">
      <w:pPr>
        <w:spacing w:after="545"/>
        <w:ind w:left="2357"/>
      </w:pPr>
      <w:r>
        <w:rPr>
          <w:noProof/>
        </w:rPr>
        <w:drawing>
          <wp:anchor distT="0" distB="0" distL="114300" distR="114300" simplePos="0" relativeHeight="251660288" behindDoc="0" locked="0" layoutInCell="1" allowOverlap="0" wp14:anchorId="6E0027C2" wp14:editId="17023105">
            <wp:simplePos x="0" y="0"/>
            <wp:positionH relativeFrom="page">
              <wp:posOffset>9914560</wp:posOffset>
            </wp:positionH>
            <wp:positionV relativeFrom="page">
              <wp:posOffset>6522249</wp:posOffset>
            </wp:positionV>
            <wp:extent cx="16163" cy="549446"/>
            <wp:effectExtent l="0" t="0" r="0" b="0"/>
            <wp:wrapSquare wrapText="bothSides"/>
            <wp:docPr id="14243" name="Picture 14243"/>
            <wp:cNvGraphicFramePr/>
            <a:graphic xmlns:a="http://schemas.openxmlformats.org/drawingml/2006/main">
              <a:graphicData uri="http://schemas.openxmlformats.org/drawingml/2006/picture">
                <pic:pic xmlns:pic="http://schemas.openxmlformats.org/drawingml/2006/picture">
                  <pic:nvPicPr>
                    <pic:cNvPr id="14243" name="Picture 14243"/>
                    <pic:cNvPicPr/>
                  </pic:nvPicPr>
                  <pic:blipFill>
                    <a:blip r:embed="rId9"/>
                    <a:stretch>
                      <a:fillRect/>
                    </a:stretch>
                  </pic:blipFill>
                  <pic:spPr>
                    <a:xfrm>
                      <a:off x="0" y="0"/>
                      <a:ext cx="16163" cy="549446"/>
                    </a:xfrm>
                    <a:prstGeom prst="rect">
                      <a:avLst/>
                    </a:prstGeom>
                  </pic:spPr>
                </pic:pic>
              </a:graphicData>
            </a:graphic>
          </wp:anchor>
        </w:drawing>
      </w:r>
      <w:r>
        <w:rPr>
          <w:sz w:val="24"/>
          <w:vertAlign w:val="superscript"/>
        </w:rPr>
        <w:footnoteReference w:id="1"/>
      </w:r>
    </w:p>
    <w:p w14:paraId="63B08B2A" w14:textId="77777777" w:rsidR="00E538F7" w:rsidRDefault="00F341E1">
      <w:pPr>
        <w:spacing w:after="0"/>
        <w:ind w:left="2240" w:right="5" w:hanging="10"/>
        <w:jc w:val="both"/>
      </w:pPr>
      <w:r>
        <w:rPr>
          <w:noProof/>
        </w:rPr>
        <w:drawing>
          <wp:anchor distT="0" distB="0" distL="114300" distR="114300" simplePos="0" relativeHeight="251661312" behindDoc="0" locked="0" layoutInCell="1" allowOverlap="0" wp14:anchorId="4A1F43E3" wp14:editId="2C7C48B6">
            <wp:simplePos x="0" y="0"/>
            <wp:positionH relativeFrom="column">
              <wp:posOffset>4328529</wp:posOffset>
            </wp:positionH>
            <wp:positionV relativeFrom="paragraph">
              <wp:posOffset>-372597</wp:posOffset>
            </wp:positionV>
            <wp:extent cx="12930" cy="898506"/>
            <wp:effectExtent l="0" t="0" r="0" b="0"/>
            <wp:wrapSquare wrapText="bothSides"/>
            <wp:docPr id="14242" name="Picture 14242"/>
            <wp:cNvGraphicFramePr/>
            <a:graphic xmlns:a="http://schemas.openxmlformats.org/drawingml/2006/main">
              <a:graphicData uri="http://schemas.openxmlformats.org/drawingml/2006/picture">
                <pic:pic xmlns:pic="http://schemas.openxmlformats.org/drawingml/2006/picture">
                  <pic:nvPicPr>
                    <pic:cNvPr id="14242" name="Picture 14242"/>
                    <pic:cNvPicPr/>
                  </pic:nvPicPr>
                  <pic:blipFill>
                    <a:blip r:embed="rId10"/>
                    <a:stretch>
                      <a:fillRect/>
                    </a:stretch>
                  </pic:blipFill>
                  <pic:spPr>
                    <a:xfrm>
                      <a:off x="0" y="0"/>
                      <a:ext cx="12930" cy="898506"/>
                    </a:xfrm>
                    <a:prstGeom prst="rect">
                      <a:avLst/>
                    </a:prstGeom>
                  </pic:spPr>
                </pic:pic>
              </a:graphicData>
            </a:graphic>
          </wp:anchor>
        </w:drawing>
      </w:r>
      <w:r>
        <w:rPr>
          <w:rFonts w:ascii="Times New Roman" w:eastAsia="Times New Roman" w:hAnsi="Times New Roman" w:cs="Times New Roman"/>
          <w:sz w:val="20"/>
        </w:rPr>
        <w:t>Que eu sou uma bicha, louca, preta, favelada</w:t>
      </w:r>
    </w:p>
    <w:p w14:paraId="06D7B6E8" w14:textId="77777777" w:rsidR="00E538F7" w:rsidRDefault="00F341E1">
      <w:pPr>
        <w:spacing w:after="0"/>
        <w:ind w:left="2734" w:right="5" w:hanging="1263"/>
        <w:jc w:val="both"/>
      </w:pPr>
      <w:r>
        <w:rPr>
          <w:rFonts w:ascii="Times New Roman" w:eastAsia="Times New Roman" w:hAnsi="Times New Roman" w:cs="Times New Roman"/>
          <w:sz w:val="20"/>
        </w:rPr>
        <w:t xml:space="preserve">Quicando eu vou passar e ninguém mais vai dar </w:t>
      </w:r>
      <w:proofErr w:type="gramStart"/>
      <w:r>
        <w:rPr>
          <w:rFonts w:ascii="Times New Roman" w:eastAsia="Times New Roman" w:hAnsi="Times New Roman" w:cs="Times New Roman"/>
          <w:sz w:val="20"/>
        </w:rPr>
        <w:t>risada Se</w:t>
      </w:r>
      <w:proofErr w:type="gramEnd"/>
      <w:r>
        <w:rPr>
          <w:rFonts w:ascii="Times New Roman" w:eastAsia="Times New Roman" w:hAnsi="Times New Roman" w:cs="Times New Roman"/>
          <w:sz w:val="20"/>
        </w:rPr>
        <w:t xml:space="preserve"> tu for esperto, pode logo perceber Que </w:t>
      </w:r>
      <w:proofErr w:type="spellStart"/>
      <w:r>
        <w:rPr>
          <w:rFonts w:ascii="Times New Roman" w:eastAsia="Times New Roman" w:hAnsi="Times New Roman" w:cs="Times New Roman"/>
          <w:sz w:val="20"/>
        </w:rPr>
        <w:t>eujá</w:t>
      </w:r>
      <w:proofErr w:type="spellEnd"/>
      <w:r>
        <w:rPr>
          <w:rFonts w:ascii="Times New Roman" w:eastAsia="Times New Roman" w:hAnsi="Times New Roman" w:cs="Times New Roman"/>
          <w:sz w:val="20"/>
        </w:rPr>
        <w:t xml:space="preserve"> não </w:t>
      </w:r>
      <w:proofErr w:type="spellStart"/>
      <w:r>
        <w:rPr>
          <w:rFonts w:ascii="Times New Roman" w:eastAsia="Times New Roman" w:hAnsi="Times New Roman" w:cs="Times New Roman"/>
          <w:sz w:val="20"/>
        </w:rPr>
        <w:t>tô</w:t>
      </w:r>
      <w:proofErr w:type="spellEnd"/>
      <w:r>
        <w:rPr>
          <w:rFonts w:ascii="Times New Roman" w:eastAsia="Times New Roman" w:hAnsi="Times New Roman" w:cs="Times New Roman"/>
          <w:sz w:val="20"/>
        </w:rPr>
        <w:t xml:space="preserve"> pra brincadeira</w:t>
      </w:r>
    </w:p>
    <w:p w14:paraId="1C90A44C" w14:textId="77777777" w:rsidR="00E538F7" w:rsidRDefault="00F341E1">
      <w:pPr>
        <w:spacing w:after="145"/>
        <w:ind w:left="3538" w:right="5" w:hanging="10"/>
        <w:jc w:val="both"/>
      </w:pPr>
      <w:r>
        <w:rPr>
          <w:rFonts w:ascii="Times New Roman" w:eastAsia="Times New Roman" w:hAnsi="Times New Roman" w:cs="Times New Roman"/>
          <w:sz w:val="20"/>
        </w:rPr>
        <w:t xml:space="preserve">Eu vou botar é </w:t>
      </w:r>
      <w:proofErr w:type="gramStart"/>
      <w:r>
        <w:rPr>
          <w:rFonts w:ascii="Times New Roman" w:eastAsia="Times New Roman" w:hAnsi="Times New Roman" w:cs="Times New Roman"/>
          <w:sz w:val="20"/>
        </w:rPr>
        <w:t>pra</w:t>
      </w:r>
      <w:proofErr w:type="gramEnd"/>
      <w:r>
        <w:rPr>
          <w:rFonts w:ascii="Times New Roman" w:eastAsia="Times New Roman" w:hAnsi="Times New Roman" w:cs="Times New Roman"/>
          <w:sz w:val="20"/>
        </w:rPr>
        <w:t xml:space="preserve"> foder[...]</w:t>
      </w:r>
    </w:p>
    <w:p w14:paraId="73FBAC0E" w14:textId="77777777" w:rsidR="00E538F7" w:rsidRDefault="00F341E1">
      <w:pPr>
        <w:spacing w:after="334" w:line="225" w:lineRule="auto"/>
        <w:ind w:left="2830"/>
        <w:jc w:val="both"/>
      </w:pPr>
      <w:proofErr w:type="spellStart"/>
      <w:r>
        <w:rPr>
          <w:sz w:val="20"/>
        </w:rPr>
        <w:t>Linn</w:t>
      </w:r>
      <w:proofErr w:type="spellEnd"/>
      <w:r>
        <w:rPr>
          <w:sz w:val="20"/>
        </w:rPr>
        <w:t xml:space="preserve"> da Quebrada - Bixa preta (2017)</w:t>
      </w:r>
    </w:p>
    <w:p w14:paraId="19049AFC" w14:textId="77777777" w:rsidR="00E538F7" w:rsidRDefault="00F341E1">
      <w:pPr>
        <w:spacing w:after="735" w:line="237" w:lineRule="auto"/>
        <w:ind w:right="1176" w:firstLine="397"/>
        <w:jc w:val="both"/>
      </w:pPr>
      <w:r>
        <w:rPr>
          <w:noProof/>
        </w:rPr>
        <mc:AlternateContent>
          <mc:Choice Requires="wpg">
            <w:drawing>
              <wp:anchor distT="0" distB="0" distL="114300" distR="114300" simplePos="0" relativeHeight="251662336" behindDoc="1" locked="0" layoutInCell="1" allowOverlap="1" wp14:anchorId="36FE4183" wp14:editId="53241ECC">
                <wp:simplePos x="0" y="0"/>
                <wp:positionH relativeFrom="column">
                  <wp:posOffset>-484897</wp:posOffset>
                </wp:positionH>
                <wp:positionV relativeFrom="paragraph">
                  <wp:posOffset>-3670597</wp:posOffset>
                </wp:positionV>
                <wp:extent cx="1975154" cy="7304402"/>
                <wp:effectExtent l="0" t="0" r="0" b="0"/>
                <wp:wrapNone/>
                <wp:docPr id="69175" name="Group 69175"/>
                <wp:cNvGraphicFramePr/>
                <a:graphic xmlns:a="http://schemas.openxmlformats.org/drawingml/2006/main">
                  <a:graphicData uri="http://schemas.microsoft.com/office/word/2010/wordprocessingGroup">
                    <wpg:wgp>
                      <wpg:cNvGrpSpPr/>
                      <wpg:grpSpPr>
                        <a:xfrm>
                          <a:off x="0" y="0"/>
                          <a:ext cx="1975154" cy="7304402"/>
                          <a:chOff x="0" y="0"/>
                          <a:chExt cx="1975154" cy="7304402"/>
                        </a:xfrm>
                      </wpg:grpSpPr>
                      <pic:pic xmlns:pic="http://schemas.openxmlformats.org/drawingml/2006/picture">
                        <pic:nvPicPr>
                          <pic:cNvPr id="73578" name="Picture 73578"/>
                          <pic:cNvPicPr/>
                        </pic:nvPicPr>
                        <pic:blipFill>
                          <a:blip r:embed="rId11"/>
                          <a:stretch>
                            <a:fillRect/>
                          </a:stretch>
                        </pic:blipFill>
                        <pic:spPr>
                          <a:xfrm>
                            <a:off x="0" y="0"/>
                            <a:ext cx="1402973" cy="7304402"/>
                          </a:xfrm>
                          <a:prstGeom prst="rect">
                            <a:avLst/>
                          </a:prstGeom>
                        </pic:spPr>
                      </pic:pic>
                      <wps:wsp>
                        <wps:cNvPr id="11949" name="Rectangle 11949"/>
                        <wps:cNvSpPr/>
                        <wps:spPr>
                          <a:xfrm>
                            <a:off x="720882" y="1861653"/>
                            <a:ext cx="980271" cy="180542"/>
                          </a:xfrm>
                          <a:prstGeom prst="rect">
                            <a:avLst/>
                          </a:prstGeom>
                          <a:ln>
                            <a:noFill/>
                          </a:ln>
                        </wps:spPr>
                        <wps:txbx>
                          <w:txbxContent>
                            <w:p w14:paraId="7BD52E4B" w14:textId="77777777" w:rsidR="00E538F7" w:rsidRDefault="00F341E1">
                              <w:r>
                                <w:rPr>
                                  <w:sz w:val="28"/>
                                </w:rPr>
                                <w:t xml:space="preserve">PALAVRAS </w:t>
                              </w:r>
                            </w:p>
                          </w:txbxContent>
                        </wps:txbx>
                        <wps:bodyPr horzOverflow="overflow" vert="horz" lIns="0" tIns="0" rIns="0" bIns="0" rtlCol="0">
                          <a:noAutofit/>
                        </wps:bodyPr>
                      </wps:wsp>
                      <wps:wsp>
                        <wps:cNvPr id="11951" name="Rectangle 11951"/>
                        <wps:cNvSpPr/>
                        <wps:spPr>
                          <a:xfrm>
                            <a:off x="1457929" y="1861653"/>
                            <a:ext cx="687909" cy="176243"/>
                          </a:xfrm>
                          <a:prstGeom prst="rect">
                            <a:avLst/>
                          </a:prstGeom>
                          <a:ln>
                            <a:noFill/>
                          </a:ln>
                        </wps:spPr>
                        <wps:txbx>
                          <w:txbxContent>
                            <w:p w14:paraId="77ED3B94" w14:textId="77777777" w:rsidR="00E538F7" w:rsidRDefault="00F341E1">
                              <w:r>
                                <w:rPr>
                                  <w:sz w:val="24"/>
                                </w:rPr>
                                <w:t>INICIAIS</w:t>
                              </w:r>
                            </w:p>
                          </w:txbxContent>
                        </wps:txbx>
                        <wps:bodyPr horzOverflow="overflow" vert="horz" lIns="0" tIns="0" rIns="0" bIns="0" rtlCol="0">
                          <a:noAutofit/>
                        </wps:bodyPr>
                      </wps:wsp>
                      <wps:wsp>
                        <wps:cNvPr id="12006" name="Rectangle 12006"/>
                        <wps:cNvSpPr/>
                        <wps:spPr>
                          <a:xfrm>
                            <a:off x="1166989" y="3862283"/>
                            <a:ext cx="378350" cy="180542"/>
                          </a:xfrm>
                          <a:prstGeom prst="rect">
                            <a:avLst/>
                          </a:prstGeom>
                          <a:ln>
                            <a:noFill/>
                          </a:ln>
                        </wps:spPr>
                        <wps:txbx>
                          <w:txbxContent>
                            <w:p w14:paraId="003DA181" w14:textId="77777777" w:rsidR="00E538F7" w:rsidRDefault="00F341E1">
                              <w:r>
                                <w:rPr>
                                  <w:sz w:val="26"/>
                                </w:rPr>
                                <w:t xml:space="preserve">Linn </w:t>
                              </w:r>
                            </w:p>
                          </w:txbxContent>
                        </wps:txbx>
                        <wps:bodyPr horzOverflow="overflow" vert="horz" lIns="0" tIns="0" rIns="0" bIns="0" rtlCol="0">
                          <a:noAutofit/>
                        </wps:bodyPr>
                      </wps:wsp>
                      <wps:wsp>
                        <wps:cNvPr id="12007" name="Rectangle 12007"/>
                        <wps:cNvSpPr/>
                        <wps:spPr>
                          <a:xfrm>
                            <a:off x="1451463" y="3836427"/>
                            <a:ext cx="249367" cy="206333"/>
                          </a:xfrm>
                          <a:prstGeom prst="rect">
                            <a:avLst/>
                          </a:prstGeom>
                          <a:ln>
                            <a:noFill/>
                          </a:ln>
                        </wps:spPr>
                        <wps:txbx>
                          <w:txbxContent>
                            <w:p w14:paraId="0846B419" w14:textId="77777777" w:rsidR="00E538F7" w:rsidRDefault="00F341E1">
                              <w:r>
                                <w:rPr>
                                  <w:sz w:val="30"/>
                                </w:rPr>
                                <w:t xml:space="preserve">da </w:t>
                              </w:r>
                            </w:p>
                          </w:txbxContent>
                        </wps:txbx>
                        <wps:bodyPr horzOverflow="overflow" vert="horz" lIns="0" tIns="0" rIns="0" bIns="0" rtlCol="0">
                          <a:noAutofit/>
                        </wps:bodyPr>
                      </wps:wsp>
                    </wpg:wgp>
                  </a:graphicData>
                </a:graphic>
              </wp:anchor>
            </w:drawing>
          </mc:Choice>
          <mc:Fallback xmlns:a="http://schemas.openxmlformats.org/drawingml/2006/main">
            <w:pict>
              <v:group id="Group 69175" style="width:155.524pt;height:575.15pt;position:absolute;z-index:-2147483648;mso-position-horizontal-relative:text;mso-position-horizontal:absolute;margin-left:-38.181pt;mso-position-vertical-relative:text;margin-top:-289.023pt;" coordsize="19751,73044">
                <v:shape id="Picture 73578" style="position:absolute;width:14029;height:73044;left:0;top:0;" filled="f">
                  <v:imagedata r:id="rId12"/>
                </v:shape>
                <v:rect id="Rectangle 11949" style="position:absolute;width:9802;height:1805;left:7208;top:18616;" filled="f" stroked="f">
                  <v:textbox inset="0,0,0,0">
                    <w:txbxContent>
                      <w:p>
                        <w:pPr>
                          <w:spacing w:before="0" w:after="160" w:line="259" w:lineRule="auto"/>
                        </w:pPr>
                        <w:r>
                          <w:rPr>
                            <w:sz w:val="28"/>
                          </w:rPr>
                          <w:t xml:space="preserve">PALAVRAS </w:t>
                        </w:r>
                      </w:p>
                    </w:txbxContent>
                  </v:textbox>
                </v:rect>
                <v:rect id="Rectangle 11951" style="position:absolute;width:6879;height:1762;left:14579;top:18616;" filled="f" stroked="f">
                  <v:textbox inset="0,0,0,0">
                    <w:txbxContent>
                      <w:p>
                        <w:pPr>
                          <w:spacing w:before="0" w:after="160" w:line="259" w:lineRule="auto"/>
                        </w:pPr>
                        <w:r>
                          <w:rPr>
                            <w:sz w:val="24"/>
                          </w:rPr>
                          <w:t xml:space="preserve">INICIAIS</w:t>
                        </w:r>
                      </w:p>
                    </w:txbxContent>
                  </v:textbox>
                </v:rect>
                <v:rect id="Rectangle 12006" style="position:absolute;width:3783;height:1805;left:11669;top:38622;" filled="f" stroked="f">
                  <v:textbox inset="0,0,0,0">
                    <w:txbxContent>
                      <w:p>
                        <w:pPr>
                          <w:spacing w:before="0" w:after="160" w:line="259" w:lineRule="auto"/>
                        </w:pPr>
                        <w:r>
                          <w:rPr>
                            <w:sz w:val="26"/>
                          </w:rPr>
                          <w:t xml:space="preserve">Linn </w:t>
                        </w:r>
                      </w:p>
                    </w:txbxContent>
                  </v:textbox>
                </v:rect>
                <v:rect id="Rectangle 12007" style="position:absolute;width:2493;height:2063;left:14514;top:38364;" filled="f" stroked="f">
                  <v:textbox inset="0,0,0,0">
                    <w:txbxContent>
                      <w:p>
                        <w:pPr>
                          <w:spacing w:before="0" w:after="160" w:line="259" w:lineRule="auto"/>
                        </w:pPr>
                        <w:r>
                          <w:rPr>
                            <w:sz w:val="30"/>
                          </w:rPr>
                          <w:t xml:space="preserve">da </w:t>
                        </w:r>
                      </w:p>
                    </w:txbxContent>
                  </v:textbox>
                </v:rect>
              </v:group>
            </w:pict>
          </mc:Fallback>
        </mc:AlternateContent>
      </w:r>
      <w:r>
        <w:rPr>
          <w:sz w:val="24"/>
        </w:rPr>
        <w:t>É imprescindível começar est</w:t>
      </w:r>
      <w:r>
        <w:rPr>
          <w:sz w:val="24"/>
        </w:rPr>
        <w:t xml:space="preserve">e capítulo sem deixar </w:t>
      </w:r>
      <w:proofErr w:type="gramStart"/>
      <w:r>
        <w:rPr>
          <w:sz w:val="24"/>
        </w:rPr>
        <w:t>de Quebrada</w:t>
      </w:r>
      <w:proofErr w:type="gramEnd"/>
      <w:r>
        <w:rPr>
          <w:sz w:val="24"/>
        </w:rPr>
        <w:t xml:space="preserve">, uma das grandes vozes com potência transgressora hoje no Brasil. Suas canções revelam problemáticas sociais no que diz respeito à sexualidade, </w:t>
      </w:r>
      <w:r>
        <w:rPr>
          <w:rFonts w:ascii="Times New Roman" w:eastAsia="Times New Roman" w:hAnsi="Times New Roman" w:cs="Times New Roman"/>
          <w:sz w:val="24"/>
        </w:rPr>
        <w:t xml:space="preserve">gênero, à raça, à classe, entre outras, </w:t>
      </w:r>
      <w:proofErr w:type="gramStart"/>
      <w:r>
        <w:rPr>
          <w:rFonts w:ascii="Times New Roman" w:eastAsia="Times New Roman" w:hAnsi="Times New Roman" w:cs="Times New Roman"/>
          <w:sz w:val="24"/>
        </w:rPr>
        <w:t>Estas</w:t>
      </w:r>
      <w:proofErr w:type="gramEnd"/>
      <w:r>
        <w:rPr>
          <w:rFonts w:ascii="Times New Roman" w:eastAsia="Times New Roman" w:hAnsi="Times New Roman" w:cs="Times New Roman"/>
          <w:sz w:val="24"/>
        </w:rPr>
        <w:t xml:space="preserve"> se </w:t>
      </w:r>
      <w:proofErr w:type="spellStart"/>
      <w:r>
        <w:rPr>
          <w:rFonts w:ascii="Times New Roman" w:eastAsia="Times New Roman" w:hAnsi="Times New Roman" w:cs="Times New Roman"/>
          <w:sz w:val="24"/>
        </w:rPr>
        <w:t>interseccio</w:t>
      </w:r>
      <w:proofErr w:type="spellEnd"/>
      <w:r>
        <w:rPr>
          <w:noProof/>
        </w:rPr>
        <w:drawing>
          <wp:inline distT="0" distB="0" distL="0" distR="0" wp14:anchorId="2BBE5AA4" wp14:editId="40A819F3">
            <wp:extent cx="3232" cy="6464"/>
            <wp:effectExtent l="0" t="0" r="0" b="0"/>
            <wp:docPr id="14186" name="Picture 14186"/>
            <wp:cNvGraphicFramePr/>
            <a:graphic xmlns:a="http://schemas.openxmlformats.org/drawingml/2006/main">
              <a:graphicData uri="http://schemas.openxmlformats.org/drawingml/2006/picture">
                <pic:pic xmlns:pic="http://schemas.openxmlformats.org/drawingml/2006/picture">
                  <pic:nvPicPr>
                    <pic:cNvPr id="14186" name="Picture 14186"/>
                    <pic:cNvPicPr/>
                  </pic:nvPicPr>
                  <pic:blipFill>
                    <a:blip r:embed="rId13"/>
                    <a:stretch>
                      <a:fillRect/>
                    </a:stretch>
                  </pic:blipFill>
                  <pic:spPr>
                    <a:xfrm>
                      <a:off x="0" y="0"/>
                      <a:ext cx="3232" cy="6464"/>
                    </a:xfrm>
                    <a:prstGeom prst="rect">
                      <a:avLst/>
                    </a:prstGeom>
                  </pic:spPr>
                </pic:pic>
              </a:graphicData>
            </a:graphic>
          </wp:inline>
        </w:drawing>
      </w:r>
      <w:proofErr w:type="spellStart"/>
      <w:r>
        <w:rPr>
          <w:sz w:val="24"/>
        </w:rPr>
        <w:t>nam</w:t>
      </w:r>
      <w:proofErr w:type="spellEnd"/>
      <w:r>
        <w:rPr>
          <w:sz w:val="24"/>
        </w:rPr>
        <w:t xml:space="preserve"> diante das experiências vivenciadas pelos Participantes.</w:t>
      </w:r>
    </w:p>
    <w:p w14:paraId="60BA7FCD" w14:textId="77777777" w:rsidR="00E538F7" w:rsidRDefault="00F341E1">
      <w:pPr>
        <w:spacing w:after="3" w:line="265" w:lineRule="auto"/>
        <w:ind w:left="173" w:right="1151" w:hanging="10"/>
        <w:jc w:val="both"/>
      </w:pPr>
      <w:r>
        <w:rPr>
          <w:sz w:val="18"/>
        </w:rPr>
        <w:t xml:space="preserve">Bacharel em Tradução pela (UFPB/Campus I -- João Pessoa). Em 2018, pela mesma intuição, fui bolsista no Projeto de extensão Tradução e Empoderamento da Mulher, o qual foi agraciado com o Prêmio Elo Cidadão 2018. </w:t>
      </w:r>
      <w:proofErr w:type="spellStart"/>
      <w:r>
        <w:rPr>
          <w:sz w:val="18"/>
        </w:rPr>
        <w:t>Atualmentq</w:t>
      </w:r>
      <w:proofErr w:type="spellEnd"/>
      <w:r>
        <w:rPr>
          <w:sz w:val="18"/>
        </w:rPr>
        <w:t xml:space="preserve"> sou mestrando Estudos da Linguage</w:t>
      </w:r>
      <w:r>
        <w:rPr>
          <w:sz w:val="18"/>
        </w:rPr>
        <w:t xml:space="preserve">m pelo Programa de Pós-graduação em Estudos da </w:t>
      </w:r>
      <w:proofErr w:type="spellStart"/>
      <w:r>
        <w:rPr>
          <w:sz w:val="18"/>
        </w:rPr>
        <w:t>Línguagem</w:t>
      </w:r>
      <w:proofErr w:type="spellEnd"/>
      <w:r>
        <w:rPr>
          <w:sz w:val="18"/>
        </w:rPr>
        <w:t xml:space="preserve"> (PROGEL—UFRPE/Sede) e licenciando em Letras/inglês pela Universidade Estácio de Sá (UNESA). E-mail para contato: strange.frwit@gmail.com.</w:t>
      </w:r>
    </w:p>
    <w:p w14:paraId="6DC5B589" w14:textId="77777777" w:rsidR="00E538F7" w:rsidRDefault="00E538F7">
      <w:pPr>
        <w:sectPr w:rsidR="00E538F7">
          <w:footnotePr>
            <w:numRestart w:val="eachPage"/>
          </w:footnotePr>
          <w:type w:val="continuous"/>
          <w:pgSz w:w="16820" w:h="11900" w:orient="landscape"/>
          <w:pgMar w:top="1440" w:right="1186" w:bottom="1440" w:left="1639" w:header="720" w:footer="720" w:gutter="0"/>
          <w:cols w:num="2" w:space="720" w:equalWidth="0">
            <w:col w:w="5707" w:space="1446"/>
            <w:col w:w="6842"/>
          </w:cols>
        </w:sectPr>
      </w:pPr>
    </w:p>
    <w:p w14:paraId="54D22F58" w14:textId="77777777" w:rsidR="00E538F7" w:rsidRDefault="00F341E1">
      <w:pPr>
        <w:spacing w:after="1191" w:line="228" w:lineRule="auto"/>
        <w:ind w:left="5687" w:right="-316" w:firstLine="178"/>
      </w:pPr>
      <w:r>
        <w:rPr>
          <w:sz w:val="24"/>
        </w:rPr>
        <w:lastRenderedPageBreak/>
        <w:t xml:space="preserve">que </w:t>
      </w:r>
      <w:proofErr w:type="spellStart"/>
      <w:r>
        <w:rPr>
          <w:sz w:val="24"/>
        </w:rPr>
        <w:t>Linn</w:t>
      </w:r>
      <w:proofErr w:type="spellEnd"/>
      <w:r>
        <w:rPr>
          <w:sz w:val="24"/>
        </w:rPr>
        <w:t xml:space="preserve"> </w:t>
      </w:r>
      <w:proofErr w:type="spellStart"/>
      <w:r>
        <w:rPr>
          <w:sz w:val="24"/>
        </w:rPr>
        <w:t>Celie</w:t>
      </w:r>
      <w:proofErr w:type="spellEnd"/>
      <w:r>
        <w:rPr>
          <w:sz w:val="24"/>
        </w:rPr>
        <w:t xml:space="preserve">, </w:t>
      </w:r>
      <w:proofErr w:type="gramStart"/>
      <w:r>
        <w:rPr>
          <w:sz w:val="24"/>
        </w:rPr>
        <w:t>Esses</w:t>
      </w:r>
      <w:proofErr w:type="gramEnd"/>
    </w:p>
    <w:p w14:paraId="1E6F3670" w14:textId="77777777" w:rsidR="00E538F7" w:rsidRDefault="00F341E1">
      <w:pPr>
        <w:spacing w:after="260" w:line="319" w:lineRule="auto"/>
        <w:ind w:left="5875" w:right="7393" w:firstLine="66"/>
      </w:pPr>
      <w:r>
        <w:rPr>
          <w:sz w:val="16"/>
        </w:rPr>
        <w:t xml:space="preserve">de </w:t>
      </w:r>
      <w:r>
        <w:rPr>
          <w:sz w:val="16"/>
        </w:rPr>
        <w:t>vias</w:t>
      </w:r>
    </w:p>
    <w:p w14:paraId="2B8816A5" w14:textId="77777777" w:rsidR="00E538F7" w:rsidRDefault="00F341E1">
      <w:pPr>
        <w:spacing w:after="508" w:line="228" w:lineRule="auto"/>
        <w:ind w:left="5687" w:right="-316" w:firstLine="15"/>
      </w:pPr>
      <w:r>
        <w:rPr>
          <w:sz w:val="24"/>
        </w:rPr>
        <w:t>p</w:t>
      </w:r>
      <w:r>
        <w:rPr>
          <w:sz w:val="24"/>
        </w:rPr>
        <w:t xml:space="preserve">elas nos </w:t>
      </w:r>
      <w:proofErr w:type="spellStart"/>
      <w:r>
        <w:rPr>
          <w:sz w:val="24"/>
        </w:rPr>
        <w:t>déca</w:t>
      </w:r>
      <w:proofErr w:type="spellEnd"/>
      <w:r>
        <w:rPr>
          <w:sz w:val="24"/>
        </w:rPr>
        <w:t>-</w:t>
      </w:r>
    </w:p>
    <w:tbl>
      <w:tblPr>
        <w:tblStyle w:val="TableGrid"/>
        <w:tblpPr w:vertAnchor="page" w:horzAnchor="page" w:tblpX="1116"/>
        <w:tblOverlap w:val="never"/>
        <w:tblW w:w="6251" w:type="dxa"/>
        <w:tblInd w:w="0" w:type="dxa"/>
        <w:tblCellMar>
          <w:top w:w="0" w:type="dxa"/>
          <w:left w:w="850" w:type="dxa"/>
          <w:bottom w:w="0" w:type="dxa"/>
          <w:right w:w="0" w:type="dxa"/>
        </w:tblCellMar>
        <w:tblLook w:val="04A0" w:firstRow="1" w:lastRow="0" w:firstColumn="1" w:lastColumn="0" w:noHBand="0" w:noVBand="1"/>
      </w:tblPr>
      <w:tblGrid>
        <w:gridCol w:w="6251"/>
      </w:tblGrid>
      <w:tr w:rsidR="00E538F7" w14:paraId="4888E261" w14:textId="77777777">
        <w:trPr>
          <w:trHeight w:val="11299"/>
        </w:trPr>
        <w:tc>
          <w:tcPr>
            <w:tcW w:w="6251" w:type="dxa"/>
            <w:tcBorders>
              <w:top w:val="nil"/>
              <w:left w:val="single" w:sz="2" w:space="0" w:color="000000"/>
              <w:bottom w:val="single" w:sz="2" w:space="0" w:color="000000"/>
              <w:right w:val="nil"/>
            </w:tcBorders>
            <w:vAlign w:val="center"/>
          </w:tcPr>
          <w:p w14:paraId="1ED97503" w14:textId="77777777" w:rsidR="00E538F7" w:rsidRDefault="00F341E1">
            <w:pPr>
              <w:spacing w:after="30" w:line="244" w:lineRule="auto"/>
              <w:ind w:left="31" w:right="122" w:firstLine="407"/>
              <w:jc w:val="both"/>
            </w:pPr>
            <w:r>
              <w:rPr>
                <w:sz w:val="24"/>
              </w:rPr>
              <w:lastRenderedPageBreak/>
              <w:t>Diante disso, trago um trecho da música Bixa Preta, dialoga diretamente com o tema deste trabalho. Quando fala que é "</w:t>
            </w:r>
            <w:r>
              <w:rPr>
                <w:sz w:val="24"/>
                <w:u w:val="single" w:color="000000"/>
              </w:rPr>
              <w:t>bicha</w:t>
            </w:r>
            <w:r>
              <w:rPr>
                <w:sz w:val="24"/>
              </w:rPr>
              <w:t xml:space="preserve">, louca, </w:t>
            </w:r>
            <w:r>
              <w:rPr>
                <w:sz w:val="24"/>
                <w:u w:val="single" w:color="000000"/>
              </w:rPr>
              <w:t>preta</w:t>
            </w:r>
            <w:r>
              <w:rPr>
                <w:sz w:val="24"/>
              </w:rPr>
              <w:t xml:space="preserve">, </w:t>
            </w:r>
            <w:r>
              <w:rPr>
                <w:sz w:val="24"/>
                <w:u w:val="single" w:color="000000"/>
              </w:rPr>
              <w:t>favelada</w:t>
            </w:r>
            <w:r>
              <w:rPr>
                <w:sz w:val="24"/>
              </w:rPr>
              <w:t xml:space="preserve">", lembro-me de mulher não-heteronormativa, mãe, negra, camponesa. </w:t>
            </w:r>
          </w:p>
          <w:p w14:paraId="176AA8FE" w14:textId="77777777" w:rsidR="00E538F7" w:rsidRDefault="00F341E1">
            <w:pPr>
              <w:spacing w:after="97" w:line="241" w:lineRule="auto"/>
              <w:ind w:left="31" w:right="-290"/>
              <w:jc w:val="both"/>
            </w:pPr>
            <w:r>
              <w:rPr>
                <w:sz w:val="24"/>
              </w:rPr>
              <w:t>fatores se entrelaçam entr</w:t>
            </w:r>
            <w:r>
              <w:rPr>
                <w:sz w:val="24"/>
              </w:rPr>
              <w:t>e si, constituindo assim, diversas formas de opressões.</w:t>
            </w:r>
          </w:p>
          <w:p w14:paraId="71E1D4E3" w14:textId="77777777" w:rsidR="00E538F7" w:rsidRDefault="00F341E1">
            <w:pPr>
              <w:spacing w:after="193"/>
              <w:ind w:left="428"/>
            </w:pPr>
            <w:r>
              <w:t>Segundo Furtado (2019, p. 143)</w:t>
            </w:r>
          </w:p>
          <w:p w14:paraId="7FB106A4" w14:textId="77777777" w:rsidR="00E538F7" w:rsidRDefault="00F341E1">
            <w:pPr>
              <w:spacing w:after="281" w:line="219" w:lineRule="auto"/>
              <w:ind w:left="2286" w:right="-280" w:firstLine="5"/>
              <w:jc w:val="both"/>
            </w:pPr>
            <w:r>
              <w:t xml:space="preserve">O pensamento sobre as categorias </w:t>
            </w:r>
            <w:r>
              <w:t xml:space="preserve">opressão como interseções, como </w:t>
            </w:r>
            <w:r>
              <w:t xml:space="preserve">que se entrecruzam e se sobrepõem, foi desenvolvido e aprimorado mulheres negras em sua atuação movimentos sociais ao longo das </w:t>
            </w:r>
            <w:proofErr w:type="spellStart"/>
            <w:r>
              <w:t>das</w:t>
            </w:r>
            <w:proofErr w:type="spellEnd"/>
            <w:r>
              <w:t xml:space="preserve"> seguintes</w:t>
            </w:r>
          </w:p>
          <w:p w14:paraId="4558BD49" w14:textId="77777777" w:rsidR="00E538F7" w:rsidRDefault="00F341E1">
            <w:pPr>
              <w:spacing w:after="232" w:line="225" w:lineRule="auto"/>
              <w:ind w:right="-275" w:firstLine="428"/>
              <w:jc w:val="both"/>
            </w:pPr>
            <w:r>
              <w:rPr>
                <w:sz w:val="24"/>
              </w:rPr>
              <w:t xml:space="preserve">E ainda continua em fase de aprimoramento nas lutas gênero, sexualidades dissidentes e raça Beatriz </w:t>
            </w:r>
            <w:proofErr w:type="spellStart"/>
            <w:r>
              <w:rPr>
                <w:sz w:val="24"/>
              </w:rPr>
              <w:t>Preciado</w:t>
            </w:r>
            <w:proofErr w:type="spellEnd"/>
            <w:r>
              <w:rPr>
                <w:sz w:val="24"/>
              </w:rPr>
              <w:t xml:space="preserve"> uma e</w:t>
            </w:r>
            <w:r>
              <w:rPr>
                <w:sz w:val="24"/>
              </w:rPr>
              <w:t xml:space="preserve">ntrevista concedida a Jesus </w:t>
            </w:r>
            <w:proofErr w:type="spellStart"/>
            <w:r>
              <w:rPr>
                <w:sz w:val="24"/>
              </w:rPr>
              <w:t>Carrillo</w:t>
            </w:r>
            <w:proofErr w:type="spellEnd"/>
            <w:r>
              <w:rPr>
                <w:sz w:val="24"/>
              </w:rPr>
              <w:t xml:space="preserve">, retoma o contexto histórico da crise do gênero na segunda onda do feminismo, na década de 1990, que deu lugar a reflexões acerca essencialismo, gerando debates transversais entre as </w:t>
            </w:r>
            <w:proofErr w:type="spellStart"/>
            <w:r>
              <w:rPr>
                <w:sz w:val="24"/>
              </w:rPr>
              <w:t>cas</w:t>
            </w:r>
            <w:proofErr w:type="spellEnd"/>
            <w:r>
              <w:rPr>
                <w:sz w:val="24"/>
              </w:rPr>
              <w:t xml:space="preserve"> e feministas da época. Isso porq</w:t>
            </w:r>
            <w:r>
              <w:rPr>
                <w:sz w:val="24"/>
              </w:rPr>
              <w:t xml:space="preserve">ue essas discussões </w:t>
            </w:r>
            <w:r>
              <w:rPr>
                <w:sz w:val="24"/>
              </w:rPr>
              <w:t xml:space="preserve">meavam entre conceitos de: igualdades e diferenças, justiça e reconhecimento, </w:t>
            </w:r>
            <w:proofErr w:type="gramStart"/>
            <w:r>
              <w:rPr>
                <w:sz w:val="24"/>
              </w:rPr>
              <w:t>e também</w:t>
            </w:r>
            <w:proofErr w:type="gramEnd"/>
            <w:r>
              <w:rPr>
                <w:sz w:val="24"/>
              </w:rPr>
              <w:t xml:space="preserve"> essencialismo e construtivismo (CARRILLO, 2010). </w:t>
            </w:r>
            <w:proofErr w:type="spellStart"/>
            <w:r>
              <w:rPr>
                <w:sz w:val="24"/>
              </w:rPr>
              <w:t>Preciado</w:t>
            </w:r>
            <w:proofErr w:type="spellEnd"/>
            <w:r>
              <w:rPr>
                <w:sz w:val="24"/>
              </w:rPr>
              <w:t xml:space="preserve"> defende que seria mais sexualizar a raça e </w:t>
            </w:r>
            <w:proofErr w:type="spellStart"/>
            <w:r>
              <w:rPr>
                <w:sz w:val="24"/>
              </w:rPr>
              <w:t>racializar</w:t>
            </w:r>
            <w:proofErr w:type="spellEnd"/>
            <w:r>
              <w:rPr>
                <w:sz w:val="24"/>
              </w:rPr>
              <w:t xml:space="preserve"> o sexo, através de uma constituição m</w:t>
            </w:r>
            <w:r>
              <w:rPr>
                <w:sz w:val="24"/>
              </w:rPr>
              <w:t>útua que</w:t>
            </w:r>
          </w:p>
          <w:p w14:paraId="78626F29" w14:textId="77777777" w:rsidR="00E538F7" w:rsidRDefault="00F341E1">
            <w:pPr>
              <w:spacing w:after="527" w:line="216" w:lineRule="auto"/>
              <w:ind w:left="2260" w:right="-10" w:firstLine="10"/>
              <w:jc w:val="both"/>
            </w:pPr>
            <w:r>
              <w:t xml:space="preserve">não é simplesmente questão de se ter conta a especificidade racial ou étnica opressão como mais uma variante à opressão sexual ou de gênero, mas </w:t>
            </w:r>
          </w:p>
          <w:p w14:paraId="734F6955" w14:textId="77777777" w:rsidR="00E538F7" w:rsidRDefault="00F341E1">
            <w:pPr>
              <w:spacing w:after="0"/>
              <w:ind w:left="249"/>
              <w:jc w:val="center"/>
            </w:pPr>
            <w:r>
              <w:rPr>
                <w:sz w:val="20"/>
              </w:rPr>
              <w:t>108</w:t>
            </w:r>
          </w:p>
        </w:tc>
      </w:tr>
    </w:tbl>
    <w:tbl>
      <w:tblPr>
        <w:tblStyle w:val="TableGrid"/>
        <w:tblpPr w:vertAnchor="page" w:horzAnchor="page" w:tblpX="8514"/>
        <w:tblOverlap w:val="never"/>
        <w:tblW w:w="7506" w:type="dxa"/>
        <w:tblInd w:w="0" w:type="dxa"/>
        <w:tblCellMar>
          <w:top w:w="0" w:type="dxa"/>
          <w:left w:w="711" w:type="dxa"/>
          <w:bottom w:w="0" w:type="dxa"/>
          <w:right w:w="1119" w:type="dxa"/>
        </w:tblCellMar>
        <w:tblLook w:val="04A0" w:firstRow="1" w:lastRow="0" w:firstColumn="1" w:lastColumn="0" w:noHBand="0" w:noVBand="1"/>
      </w:tblPr>
      <w:tblGrid>
        <w:gridCol w:w="7506"/>
      </w:tblGrid>
      <w:tr w:rsidR="00E538F7" w14:paraId="10825AC2" w14:textId="77777777">
        <w:trPr>
          <w:trHeight w:val="11324"/>
        </w:trPr>
        <w:tc>
          <w:tcPr>
            <w:tcW w:w="7506" w:type="dxa"/>
            <w:tcBorders>
              <w:top w:val="nil"/>
              <w:left w:val="single" w:sz="2" w:space="0" w:color="000000"/>
              <w:bottom w:val="single" w:sz="2" w:space="0" w:color="000000"/>
              <w:right w:val="nil"/>
            </w:tcBorders>
            <w:vAlign w:val="center"/>
          </w:tcPr>
          <w:p w14:paraId="466190DC" w14:textId="77777777" w:rsidR="00E538F7" w:rsidRDefault="00F341E1">
            <w:pPr>
              <w:spacing w:after="289" w:line="217" w:lineRule="auto"/>
              <w:ind w:left="2260" w:right="10"/>
              <w:jc w:val="both"/>
            </w:pPr>
            <w:r>
              <w:t>analisar a constituição mútua do género e da raça, o que poderíamos chamar a sexualização da raç</w:t>
            </w:r>
            <w:r>
              <w:t xml:space="preserve">a e a </w:t>
            </w:r>
            <w:proofErr w:type="spellStart"/>
            <w:r>
              <w:t>racializaçào</w:t>
            </w:r>
            <w:proofErr w:type="spellEnd"/>
            <w:r>
              <w:t xml:space="preserve"> do sexo, como dois movimentos constitutivos da modernidade sexo-colonial (CARRILLO, 2010, p, 48).</w:t>
            </w:r>
          </w:p>
          <w:p w14:paraId="27FF17CC" w14:textId="77777777" w:rsidR="00E538F7" w:rsidRDefault="00F341E1">
            <w:pPr>
              <w:spacing w:after="212" w:line="235" w:lineRule="auto"/>
              <w:ind w:firstLine="402"/>
              <w:jc w:val="both"/>
            </w:pPr>
            <w:r>
              <w:rPr>
                <w:sz w:val="24"/>
              </w:rPr>
              <w:t>Pensando um pouco a respeito dos debates transversais sobre o feminismo,</w:t>
            </w:r>
          </w:p>
          <w:p w14:paraId="0040B8B7" w14:textId="77777777" w:rsidR="00E538F7" w:rsidRDefault="00F341E1">
            <w:pPr>
              <w:spacing w:after="302" w:line="221" w:lineRule="auto"/>
              <w:ind w:left="2270" w:right="10"/>
              <w:jc w:val="both"/>
            </w:pPr>
            <w:r>
              <w:rPr>
                <w:sz w:val="24"/>
              </w:rPr>
              <w:t>a negatividade crítica do feminismo vai encontrar espaço na crítica a este androcentrism0</w:t>
            </w:r>
            <w:r>
              <w:rPr>
                <w:sz w:val="24"/>
                <w:vertAlign w:val="superscript"/>
              </w:rPr>
              <w:t xml:space="preserve">43 </w:t>
            </w:r>
            <w:r>
              <w:rPr>
                <w:sz w:val="24"/>
              </w:rPr>
              <w:t>nas relações sociais de gênero e sua representação; igualmente, na tentativa de trazer para</w:t>
            </w:r>
            <w:r>
              <w:rPr>
                <w:sz w:val="24"/>
              </w:rPr>
              <w:t xml:space="preserve"> a luz esse outro irrepresentável, que não cabe </w:t>
            </w:r>
            <w:r>
              <w:rPr>
                <w:sz w:val="24"/>
              </w:rPr>
              <w:t xml:space="preserve">no modo como o gênero é concebido </w:t>
            </w:r>
            <w:r>
              <w:rPr>
                <w:sz w:val="24"/>
              </w:rPr>
              <w:t>(OLIVEIRA, 2017, p. 40-41).</w:t>
            </w:r>
          </w:p>
          <w:p w14:paraId="4DFB0285" w14:textId="77777777" w:rsidR="00E538F7" w:rsidRDefault="00F341E1">
            <w:pPr>
              <w:spacing w:after="113" w:line="221" w:lineRule="auto"/>
              <w:ind w:left="10" w:firstLine="392"/>
              <w:jc w:val="both"/>
            </w:pPr>
            <w:r>
              <w:rPr>
                <w:sz w:val="24"/>
              </w:rPr>
              <w:t xml:space="preserve">A partir desse ponto de vista, o leque das possibilidades de gênero se abre. Pensar em um feminismo que abrangesse apenas as mulheres brancas </w:t>
            </w:r>
            <w:proofErr w:type="spellStart"/>
            <w:r>
              <w:rPr>
                <w:sz w:val="24"/>
              </w:rPr>
              <w:t>cis-</w:t>
            </w:r>
            <w:r>
              <w:rPr>
                <w:sz w:val="24"/>
              </w:rPr>
              <w:t>heterossexuais</w:t>
            </w:r>
            <w:proofErr w:type="spellEnd"/>
            <w:r>
              <w:rPr>
                <w:sz w:val="24"/>
              </w:rPr>
              <w:t xml:space="preserve">, não comportaria as vastas possibilidades de ser mulher, pois ele só sustentaria a supremacia branca </w:t>
            </w:r>
            <w:proofErr w:type="spellStart"/>
            <w:proofErr w:type="gramStart"/>
            <w:r>
              <w:rPr>
                <w:sz w:val="24"/>
              </w:rPr>
              <w:t>heteronormativa.Por</w:t>
            </w:r>
            <w:proofErr w:type="spellEnd"/>
            <w:proofErr w:type="gramEnd"/>
            <w:r>
              <w:rPr>
                <w:sz w:val="24"/>
              </w:rPr>
              <w:t xml:space="preserve"> isso que a teoria feminista é importante para o entendimento de como o poder constitui as pessoas, levando em consideraç</w:t>
            </w:r>
            <w:r>
              <w:rPr>
                <w:sz w:val="24"/>
              </w:rPr>
              <w:t>ão gênero, raça, classe, sexualidade, etc. No feminismo negro, por exemplo, conforme Mbandi (2019, p. 14) "os feminismos negros tratam de enegrecer o feminismo e feminizar a raça".</w:t>
            </w:r>
          </w:p>
          <w:p w14:paraId="319C9172" w14:textId="77777777" w:rsidR="00E538F7" w:rsidRDefault="00F341E1">
            <w:pPr>
              <w:spacing w:after="54"/>
              <w:ind w:left="10"/>
            </w:pPr>
            <w:r>
              <w:rPr>
                <w:noProof/>
              </w:rPr>
              <w:drawing>
                <wp:inline distT="0" distB="0" distL="0" distR="0" wp14:anchorId="0BF846FD" wp14:editId="4EC804DE">
                  <wp:extent cx="918075" cy="9696"/>
                  <wp:effectExtent l="0" t="0" r="0" b="0"/>
                  <wp:docPr id="18246" name="Picture 18246"/>
                  <wp:cNvGraphicFramePr/>
                  <a:graphic xmlns:a="http://schemas.openxmlformats.org/drawingml/2006/main">
                    <a:graphicData uri="http://schemas.openxmlformats.org/drawingml/2006/picture">
                      <pic:pic xmlns:pic="http://schemas.openxmlformats.org/drawingml/2006/picture">
                        <pic:nvPicPr>
                          <pic:cNvPr id="18246" name="Picture 18246"/>
                          <pic:cNvPicPr/>
                        </pic:nvPicPr>
                        <pic:blipFill>
                          <a:blip r:embed="rId14"/>
                          <a:stretch>
                            <a:fillRect/>
                          </a:stretch>
                        </pic:blipFill>
                        <pic:spPr>
                          <a:xfrm>
                            <a:off x="0" y="0"/>
                            <a:ext cx="918075" cy="9696"/>
                          </a:xfrm>
                          <a:prstGeom prst="rect">
                            <a:avLst/>
                          </a:prstGeom>
                        </pic:spPr>
                      </pic:pic>
                    </a:graphicData>
                  </a:graphic>
                </wp:inline>
              </w:drawing>
            </w:r>
          </w:p>
          <w:p w14:paraId="5E847E35" w14:textId="77777777" w:rsidR="00E538F7" w:rsidRDefault="00F341E1">
            <w:pPr>
              <w:spacing w:after="559" w:line="216" w:lineRule="auto"/>
              <w:ind w:left="179" w:hanging="87"/>
              <w:jc w:val="both"/>
            </w:pPr>
            <w:r>
              <w:rPr>
                <w:sz w:val="18"/>
                <w:vertAlign w:val="superscript"/>
              </w:rPr>
              <w:t xml:space="preserve">43 </w:t>
            </w:r>
            <w:r>
              <w:rPr>
                <w:sz w:val="18"/>
              </w:rPr>
              <w:t xml:space="preserve">"É a visão de mundo que situa o homem como centro de todas as coisas. </w:t>
            </w:r>
            <w:r>
              <w:rPr>
                <w:sz w:val="18"/>
              </w:rPr>
              <w:t>O macho ocupa uma posição central na sociedade, na cultura e na história. O conceito está muito relacionado com o patriarcado, mas também com a discriminação contra a mulher" (FERRERO, 2017),</w:t>
            </w:r>
          </w:p>
          <w:p w14:paraId="1BEA8F26" w14:textId="77777777" w:rsidR="00E538F7" w:rsidRDefault="00F341E1">
            <w:pPr>
              <w:spacing w:after="0"/>
              <w:ind w:left="20"/>
              <w:jc w:val="center"/>
            </w:pPr>
            <w:r>
              <w:rPr>
                <w:sz w:val="20"/>
              </w:rPr>
              <w:t>109</w:t>
            </w:r>
          </w:p>
        </w:tc>
      </w:tr>
    </w:tbl>
    <w:p w14:paraId="73E06F8F" w14:textId="77777777" w:rsidR="00E538F7" w:rsidRDefault="00F341E1">
      <w:pPr>
        <w:spacing w:after="611" w:line="242" w:lineRule="auto"/>
        <w:ind w:left="5682" w:right="7749"/>
        <w:jc w:val="right"/>
      </w:pPr>
      <w:r>
        <w:rPr>
          <w:noProof/>
        </w:rPr>
        <w:lastRenderedPageBreak/>
        <w:drawing>
          <wp:anchor distT="0" distB="0" distL="114300" distR="114300" simplePos="0" relativeHeight="251663360" behindDoc="0" locked="0" layoutInCell="1" allowOverlap="0" wp14:anchorId="6A6F91E3" wp14:editId="553C981E">
            <wp:simplePos x="0" y="0"/>
            <wp:positionH relativeFrom="page">
              <wp:posOffset>4806962</wp:posOffset>
            </wp:positionH>
            <wp:positionV relativeFrom="page">
              <wp:posOffset>7184816</wp:posOffset>
            </wp:positionV>
            <wp:extent cx="507527" cy="6464"/>
            <wp:effectExtent l="0" t="0" r="0" b="0"/>
            <wp:wrapTopAndBottom/>
            <wp:docPr id="73579" name="Picture 73579"/>
            <wp:cNvGraphicFramePr/>
            <a:graphic xmlns:a="http://schemas.openxmlformats.org/drawingml/2006/main">
              <a:graphicData uri="http://schemas.openxmlformats.org/drawingml/2006/picture">
                <pic:pic xmlns:pic="http://schemas.openxmlformats.org/drawingml/2006/picture">
                  <pic:nvPicPr>
                    <pic:cNvPr id="73579" name="Picture 73579"/>
                    <pic:cNvPicPr/>
                  </pic:nvPicPr>
                  <pic:blipFill>
                    <a:blip r:embed="rId15"/>
                    <a:stretch>
                      <a:fillRect/>
                    </a:stretch>
                  </pic:blipFill>
                  <pic:spPr>
                    <a:xfrm>
                      <a:off x="0" y="0"/>
                      <a:ext cx="507527" cy="6464"/>
                    </a:xfrm>
                    <a:prstGeom prst="rect">
                      <a:avLst/>
                    </a:prstGeom>
                  </pic:spPr>
                </pic:pic>
              </a:graphicData>
            </a:graphic>
          </wp:anchor>
        </w:drawing>
      </w:r>
      <w:r>
        <w:rPr>
          <w:sz w:val="24"/>
        </w:rPr>
        <w:t>de em</w:t>
      </w:r>
    </w:p>
    <w:p w14:paraId="0424ABCD" w14:textId="77777777" w:rsidR="00E538F7" w:rsidRDefault="00F341E1">
      <w:pPr>
        <w:spacing w:after="655" w:line="302" w:lineRule="auto"/>
        <w:ind w:left="5687" w:right="-316" w:firstLine="15"/>
      </w:pPr>
      <w:r>
        <w:rPr>
          <w:sz w:val="24"/>
        </w:rPr>
        <w:t xml:space="preserve">do </w:t>
      </w:r>
      <w:proofErr w:type="spellStart"/>
      <w:r>
        <w:rPr>
          <w:sz w:val="24"/>
        </w:rPr>
        <w:t>teóri</w:t>
      </w:r>
      <w:r>
        <w:rPr>
          <w:sz w:val="24"/>
        </w:rPr>
        <w:t>per</w:t>
      </w:r>
      <w:proofErr w:type="spellEnd"/>
      <w:r>
        <w:rPr>
          <w:sz w:val="24"/>
        </w:rPr>
        <w:t>-</w:t>
      </w:r>
    </w:p>
    <w:p w14:paraId="0DDF8BDA" w14:textId="77777777" w:rsidR="00E538F7" w:rsidRDefault="00F341E1">
      <w:pPr>
        <w:spacing w:after="794" w:line="228" w:lineRule="auto"/>
        <w:ind w:left="5687" w:right="-316" w:firstLine="15"/>
      </w:pPr>
      <w:r>
        <w:rPr>
          <w:sz w:val="24"/>
        </w:rPr>
        <w:t>justo</w:t>
      </w:r>
    </w:p>
    <w:p w14:paraId="5404DC65" w14:textId="77777777" w:rsidR="00E538F7" w:rsidRDefault="00F341E1">
      <w:pPr>
        <w:spacing w:after="0" w:line="227" w:lineRule="auto"/>
        <w:ind w:left="5713" w:right="4700"/>
        <w:jc w:val="right"/>
      </w:pPr>
      <w:r>
        <w:rPr>
          <w:sz w:val="20"/>
        </w:rPr>
        <w:t xml:space="preserve">em </w:t>
      </w:r>
      <w:proofErr w:type="spellStart"/>
      <w:r>
        <w:rPr>
          <w:sz w:val="20"/>
        </w:rPr>
        <w:t>da</w:t>
      </w:r>
      <w:proofErr w:type="spellEnd"/>
      <w:r>
        <w:rPr>
          <w:sz w:val="20"/>
        </w:rPr>
        <w:t xml:space="preserve"> junto de</w:t>
      </w:r>
    </w:p>
    <w:tbl>
      <w:tblPr>
        <w:tblStyle w:val="TableGrid"/>
        <w:tblpPr w:vertAnchor="page" w:horzAnchor="page" w:tblpX="1082"/>
        <w:tblOverlap w:val="never"/>
        <w:tblW w:w="14875" w:type="dxa"/>
        <w:tblInd w:w="0" w:type="dxa"/>
        <w:tblCellMar>
          <w:top w:w="618" w:type="dxa"/>
          <w:left w:w="0" w:type="dxa"/>
          <w:bottom w:w="0" w:type="dxa"/>
          <w:right w:w="0" w:type="dxa"/>
        </w:tblCellMar>
        <w:tblLook w:val="04A0" w:firstRow="1" w:lastRow="0" w:firstColumn="1" w:lastColumn="0" w:noHBand="0" w:noVBand="1"/>
      </w:tblPr>
      <w:tblGrid>
        <w:gridCol w:w="12347"/>
        <w:gridCol w:w="6354"/>
      </w:tblGrid>
      <w:tr w:rsidR="00E538F7" w14:paraId="0D84039E" w14:textId="77777777">
        <w:trPr>
          <w:trHeight w:val="11394"/>
        </w:trPr>
        <w:tc>
          <w:tcPr>
            <w:tcW w:w="7378" w:type="dxa"/>
            <w:tcBorders>
              <w:top w:val="nil"/>
              <w:left w:val="single" w:sz="2" w:space="0" w:color="000000"/>
              <w:bottom w:val="single" w:sz="2" w:space="0" w:color="000000"/>
              <w:right w:val="single" w:sz="2" w:space="0" w:color="000000"/>
            </w:tcBorders>
          </w:tcPr>
          <w:p w14:paraId="5988035B" w14:textId="77777777" w:rsidR="00E538F7" w:rsidRDefault="00F341E1">
            <w:pPr>
              <w:spacing w:after="453" w:line="252" w:lineRule="auto"/>
              <w:ind w:left="899" w:right="854" w:firstLine="5"/>
              <w:jc w:val="both"/>
            </w:pPr>
            <w:r>
              <w:rPr>
                <w:sz w:val="24"/>
              </w:rPr>
              <w:lastRenderedPageBreak/>
              <w:t>Essa ideia se aflora a partir da inquietude de mulheres negras quanto ao feminismo tido como branco. Elas reivindicam suas próprias existências como mulheres negras feministas.</w:t>
            </w:r>
          </w:p>
          <w:p w14:paraId="51F58CC7" w14:textId="77777777" w:rsidR="00E538F7" w:rsidRDefault="00F341E1">
            <w:pPr>
              <w:spacing w:after="129"/>
              <w:ind w:left="1296"/>
            </w:pPr>
            <w:r>
              <w:rPr>
                <w:sz w:val="26"/>
              </w:rPr>
              <w:t>KIMBERLÉ CRENSHAW E A INTERSECCIONALIDADE</w:t>
            </w:r>
          </w:p>
          <w:p w14:paraId="54269C83" w14:textId="77777777" w:rsidR="00E538F7" w:rsidRDefault="00F341E1">
            <w:pPr>
              <w:spacing w:after="490" w:line="240" w:lineRule="auto"/>
              <w:ind w:left="868" w:right="864" w:firstLine="412"/>
              <w:jc w:val="both"/>
            </w:pPr>
            <w:r>
              <w:rPr>
                <w:sz w:val="24"/>
              </w:rPr>
              <w:t xml:space="preserve">Antes de penetrar no conceito de interseccionalidade, cunhado pela professora de direito e advogada estadunidense </w:t>
            </w:r>
            <w:proofErr w:type="spellStart"/>
            <w:r>
              <w:rPr>
                <w:sz w:val="24"/>
              </w:rPr>
              <w:t>Kimberlé</w:t>
            </w:r>
            <w:proofErr w:type="spellEnd"/>
            <w:r>
              <w:rPr>
                <w:sz w:val="24"/>
              </w:rPr>
              <w:t xml:space="preserve"> </w:t>
            </w:r>
            <w:proofErr w:type="spellStart"/>
            <w:r>
              <w:rPr>
                <w:sz w:val="24"/>
              </w:rPr>
              <w:t>Crenshaw</w:t>
            </w:r>
            <w:proofErr w:type="spellEnd"/>
            <w:r>
              <w:rPr>
                <w:sz w:val="24"/>
              </w:rPr>
              <w:t>, é de suma importância saber que outras teóricas e intelectuais negras já haviam tratado do assunto sobre opressões, através</w:t>
            </w:r>
            <w:r>
              <w:rPr>
                <w:sz w:val="24"/>
              </w:rPr>
              <w:t xml:space="preserve"> de diversos eixos. Veja o quadro a seguir para melhor compreensão dos eixos de subordinaçã0</w:t>
            </w:r>
            <w:r>
              <w:rPr>
                <w:sz w:val="24"/>
                <w:vertAlign w:val="superscript"/>
              </w:rPr>
              <w:t xml:space="preserve">44 </w:t>
            </w:r>
            <w:r>
              <w:rPr>
                <w:sz w:val="24"/>
              </w:rPr>
              <w:t>defendidos pelas intelectuais:</w:t>
            </w:r>
          </w:p>
          <w:p w14:paraId="684F2ED8" w14:textId="77777777" w:rsidR="00E538F7" w:rsidRDefault="00F341E1">
            <w:pPr>
              <w:spacing w:after="0"/>
              <w:ind w:left="1046" w:right="1053"/>
              <w:jc w:val="center"/>
            </w:pPr>
            <w:r>
              <w:rPr>
                <w:sz w:val="20"/>
              </w:rPr>
              <w:t>Quadro I - Mapeamento de eixos defendidos por intelectuais do feminismo negro</w:t>
            </w:r>
            <w:r>
              <w:rPr>
                <w:sz w:val="20"/>
              </w:rPr>
              <w:t>45</w:t>
            </w:r>
          </w:p>
          <w:tbl>
            <w:tblPr>
              <w:tblStyle w:val="TableGrid"/>
              <w:tblW w:w="5640" w:type="dxa"/>
              <w:tblInd w:w="851" w:type="dxa"/>
              <w:tblCellMar>
                <w:top w:w="67" w:type="dxa"/>
                <w:left w:w="76" w:type="dxa"/>
                <w:bottom w:w="0" w:type="dxa"/>
                <w:right w:w="74" w:type="dxa"/>
              </w:tblCellMar>
              <w:tblLook w:val="04A0" w:firstRow="1" w:lastRow="0" w:firstColumn="1" w:lastColumn="0" w:noHBand="0" w:noVBand="1"/>
            </w:tblPr>
            <w:tblGrid>
              <w:gridCol w:w="1876"/>
              <w:gridCol w:w="2713"/>
              <w:gridCol w:w="1051"/>
            </w:tblGrid>
            <w:tr w:rsidR="00E538F7" w14:paraId="26C40B09" w14:textId="77777777">
              <w:trPr>
                <w:trHeight w:val="550"/>
              </w:trPr>
              <w:tc>
                <w:tcPr>
                  <w:tcW w:w="1876" w:type="dxa"/>
                  <w:tcBorders>
                    <w:top w:val="single" w:sz="2" w:space="0" w:color="000000"/>
                    <w:left w:val="single" w:sz="2" w:space="0" w:color="000000"/>
                    <w:bottom w:val="single" w:sz="2" w:space="0" w:color="000000"/>
                    <w:right w:val="single" w:sz="2" w:space="0" w:color="000000"/>
                  </w:tcBorders>
                </w:tcPr>
                <w:p w14:paraId="40C50BD4" w14:textId="77777777" w:rsidR="00E538F7" w:rsidRDefault="00F341E1">
                  <w:pPr>
                    <w:framePr w:wrap="around" w:vAnchor="page" w:hAnchor="page" w:x="1082"/>
                    <w:spacing w:after="0"/>
                    <w:ind w:left="78" w:firstLine="10"/>
                    <w:suppressOverlap/>
                    <w:jc w:val="both"/>
                  </w:pPr>
                  <w:r>
                    <w:rPr>
                      <w:sz w:val="18"/>
                    </w:rPr>
                    <w:t>Teóricas pensadoras do Feminismo negro</w:t>
                  </w:r>
                </w:p>
              </w:tc>
              <w:tc>
                <w:tcPr>
                  <w:tcW w:w="2713" w:type="dxa"/>
                  <w:tcBorders>
                    <w:top w:val="single" w:sz="2" w:space="0" w:color="000000"/>
                    <w:left w:val="single" w:sz="2" w:space="0" w:color="000000"/>
                    <w:bottom w:val="single" w:sz="2" w:space="0" w:color="000000"/>
                    <w:right w:val="single" w:sz="2" w:space="0" w:color="000000"/>
                  </w:tcBorders>
                  <w:vAlign w:val="center"/>
                </w:tcPr>
                <w:p w14:paraId="6263AB6A" w14:textId="77777777" w:rsidR="00E538F7" w:rsidRDefault="00F341E1">
                  <w:pPr>
                    <w:framePr w:wrap="around" w:vAnchor="page" w:hAnchor="page" w:x="1082"/>
                    <w:spacing w:after="0"/>
                    <w:ind w:left="2"/>
                    <w:suppressOverlap/>
                    <w:jc w:val="center"/>
                  </w:pPr>
                  <w:r>
                    <w:rPr>
                      <w:sz w:val="20"/>
                    </w:rPr>
                    <w:t>Eixos que d</w:t>
                  </w:r>
                  <w:r>
                    <w:rPr>
                      <w:sz w:val="20"/>
                    </w:rPr>
                    <w:t>efende</w:t>
                  </w:r>
                </w:p>
              </w:tc>
              <w:tc>
                <w:tcPr>
                  <w:tcW w:w="1051" w:type="dxa"/>
                  <w:tcBorders>
                    <w:top w:val="single" w:sz="2" w:space="0" w:color="000000"/>
                    <w:left w:val="single" w:sz="2" w:space="0" w:color="000000"/>
                    <w:bottom w:val="single" w:sz="2" w:space="0" w:color="000000"/>
                    <w:right w:val="single" w:sz="2" w:space="0" w:color="000000"/>
                  </w:tcBorders>
                  <w:vAlign w:val="center"/>
                </w:tcPr>
                <w:p w14:paraId="24B3F4D3" w14:textId="77777777" w:rsidR="00E538F7" w:rsidRDefault="00F341E1">
                  <w:pPr>
                    <w:framePr w:wrap="around" w:vAnchor="page" w:hAnchor="page" w:x="1082"/>
                    <w:spacing w:after="0"/>
                    <w:ind w:left="25"/>
                    <w:suppressOverlap/>
                  </w:pPr>
                  <w:r>
                    <w:rPr>
                      <w:sz w:val="20"/>
                    </w:rPr>
                    <w:t>Localidade</w:t>
                  </w:r>
                </w:p>
              </w:tc>
            </w:tr>
            <w:tr w:rsidR="00E538F7" w14:paraId="3C67F874" w14:textId="77777777">
              <w:trPr>
                <w:trHeight w:val="270"/>
              </w:trPr>
              <w:tc>
                <w:tcPr>
                  <w:tcW w:w="1876" w:type="dxa"/>
                  <w:tcBorders>
                    <w:top w:val="single" w:sz="2" w:space="0" w:color="000000"/>
                    <w:left w:val="single" w:sz="2" w:space="0" w:color="000000"/>
                    <w:bottom w:val="single" w:sz="2" w:space="0" w:color="000000"/>
                    <w:right w:val="single" w:sz="2" w:space="0" w:color="000000"/>
                  </w:tcBorders>
                </w:tcPr>
                <w:p w14:paraId="49E81D94" w14:textId="77777777" w:rsidR="00E538F7" w:rsidRDefault="00F341E1">
                  <w:pPr>
                    <w:framePr w:wrap="around" w:vAnchor="page" w:hAnchor="page" w:x="1082"/>
                    <w:spacing w:after="0"/>
                    <w:ind w:left="14"/>
                    <w:suppressOverlap/>
                    <w:jc w:val="center"/>
                  </w:pPr>
                  <w:proofErr w:type="spellStart"/>
                  <w:r>
                    <w:rPr>
                      <w:sz w:val="20"/>
                    </w:rPr>
                    <w:t>Angela</w:t>
                  </w:r>
                  <w:proofErr w:type="spellEnd"/>
                  <w:r>
                    <w:rPr>
                      <w:sz w:val="20"/>
                    </w:rPr>
                    <w:t xml:space="preserve"> Davis</w:t>
                  </w:r>
                </w:p>
              </w:tc>
              <w:tc>
                <w:tcPr>
                  <w:tcW w:w="2713" w:type="dxa"/>
                  <w:tcBorders>
                    <w:top w:val="single" w:sz="2" w:space="0" w:color="000000"/>
                    <w:left w:val="single" w:sz="2" w:space="0" w:color="000000"/>
                    <w:bottom w:val="single" w:sz="2" w:space="0" w:color="000000"/>
                    <w:right w:val="single" w:sz="2" w:space="0" w:color="000000"/>
                  </w:tcBorders>
                </w:tcPr>
                <w:p w14:paraId="68C39147" w14:textId="77777777" w:rsidR="00E538F7" w:rsidRDefault="00F341E1">
                  <w:pPr>
                    <w:framePr w:wrap="around" w:vAnchor="page" w:hAnchor="page" w:x="1082"/>
                    <w:spacing w:after="0"/>
                    <w:ind w:right="3"/>
                    <w:suppressOverlap/>
                    <w:jc w:val="center"/>
                  </w:pPr>
                  <w:r>
                    <w:t>classe x raça</w:t>
                  </w:r>
                </w:p>
              </w:tc>
              <w:tc>
                <w:tcPr>
                  <w:tcW w:w="1051" w:type="dxa"/>
                  <w:vMerge w:val="restart"/>
                  <w:tcBorders>
                    <w:top w:val="single" w:sz="2" w:space="0" w:color="000000"/>
                    <w:left w:val="single" w:sz="2" w:space="0" w:color="000000"/>
                    <w:bottom w:val="single" w:sz="2" w:space="0" w:color="000000"/>
                    <w:right w:val="single" w:sz="2" w:space="0" w:color="000000"/>
                  </w:tcBorders>
                  <w:vAlign w:val="center"/>
                </w:tcPr>
                <w:p w14:paraId="31A93AD1" w14:textId="77777777" w:rsidR="00E538F7" w:rsidRDefault="00F341E1">
                  <w:pPr>
                    <w:framePr w:wrap="around" w:vAnchor="page" w:hAnchor="page" w:x="1082"/>
                    <w:spacing w:after="0"/>
                    <w:suppressOverlap/>
                    <w:jc w:val="both"/>
                  </w:pPr>
                  <w:r>
                    <w:rPr>
                      <w:sz w:val="20"/>
                    </w:rPr>
                    <w:t>América do</w:t>
                  </w:r>
                </w:p>
                <w:p w14:paraId="44423E97" w14:textId="77777777" w:rsidR="00E538F7" w:rsidRDefault="00F341E1">
                  <w:pPr>
                    <w:framePr w:wrap="around" w:vAnchor="page" w:hAnchor="page" w:x="1082"/>
                    <w:spacing w:after="0"/>
                    <w:ind w:right="5"/>
                    <w:suppressOverlap/>
                    <w:jc w:val="center"/>
                  </w:pPr>
                  <w:r>
                    <w:rPr>
                      <w:sz w:val="20"/>
                    </w:rPr>
                    <w:t>Norte</w:t>
                  </w:r>
                </w:p>
              </w:tc>
            </w:tr>
            <w:tr w:rsidR="00E538F7" w14:paraId="0FAAD34D" w14:textId="77777777">
              <w:trPr>
                <w:trHeight w:val="274"/>
              </w:trPr>
              <w:tc>
                <w:tcPr>
                  <w:tcW w:w="1876" w:type="dxa"/>
                  <w:tcBorders>
                    <w:top w:val="single" w:sz="2" w:space="0" w:color="000000"/>
                    <w:left w:val="single" w:sz="2" w:space="0" w:color="000000"/>
                    <w:bottom w:val="single" w:sz="2" w:space="0" w:color="000000"/>
                    <w:right w:val="single" w:sz="2" w:space="0" w:color="000000"/>
                  </w:tcBorders>
                </w:tcPr>
                <w:p w14:paraId="7BB34C8F" w14:textId="77777777" w:rsidR="00E538F7" w:rsidRDefault="00F341E1">
                  <w:pPr>
                    <w:framePr w:wrap="around" w:vAnchor="page" w:hAnchor="page" w:x="1082"/>
                    <w:spacing w:after="0"/>
                    <w:ind w:left="9"/>
                    <w:suppressOverlap/>
                    <w:jc w:val="center"/>
                  </w:pPr>
                  <w:r>
                    <w:rPr>
                      <w:sz w:val="20"/>
                    </w:rPr>
                    <w:t xml:space="preserve">bell </w:t>
                  </w:r>
                  <w:proofErr w:type="spellStart"/>
                  <w:r>
                    <w:rPr>
                      <w:sz w:val="20"/>
                    </w:rPr>
                    <w:t>hooks</w:t>
                  </w:r>
                  <w:proofErr w:type="spellEnd"/>
                </w:p>
              </w:tc>
              <w:tc>
                <w:tcPr>
                  <w:tcW w:w="2713" w:type="dxa"/>
                  <w:tcBorders>
                    <w:top w:val="single" w:sz="2" w:space="0" w:color="000000"/>
                    <w:left w:val="single" w:sz="2" w:space="0" w:color="000000"/>
                    <w:bottom w:val="single" w:sz="2" w:space="0" w:color="000000"/>
                    <w:right w:val="single" w:sz="2" w:space="0" w:color="000000"/>
                  </w:tcBorders>
                </w:tcPr>
                <w:p w14:paraId="288D02A9" w14:textId="77777777" w:rsidR="00E538F7" w:rsidRDefault="00F341E1">
                  <w:pPr>
                    <w:framePr w:wrap="around" w:vAnchor="page" w:hAnchor="page" w:x="1082"/>
                    <w:spacing w:after="0"/>
                    <w:ind w:left="45"/>
                    <w:suppressOverlap/>
                  </w:pPr>
                  <w:r>
                    <w:rPr>
                      <w:sz w:val="20"/>
                    </w:rPr>
                    <w:t xml:space="preserve">intelectualidade x </w:t>
                  </w:r>
                  <w:proofErr w:type="spellStart"/>
                  <w:r>
                    <w:rPr>
                      <w:sz w:val="20"/>
                    </w:rPr>
                    <w:t>ra</w:t>
                  </w:r>
                  <w:proofErr w:type="spellEnd"/>
                  <w:r>
                    <w:rPr>
                      <w:sz w:val="20"/>
                    </w:rPr>
                    <w:t xml:space="preserve"> a x estética</w:t>
                  </w:r>
                </w:p>
              </w:tc>
              <w:tc>
                <w:tcPr>
                  <w:tcW w:w="0" w:type="auto"/>
                  <w:vMerge/>
                  <w:tcBorders>
                    <w:top w:val="nil"/>
                    <w:left w:val="single" w:sz="2" w:space="0" w:color="000000"/>
                    <w:bottom w:val="nil"/>
                    <w:right w:val="single" w:sz="2" w:space="0" w:color="000000"/>
                  </w:tcBorders>
                </w:tcPr>
                <w:p w14:paraId="44ABD8D9" w14:textId="77777777" w:rsidR="00E538F7" w:rsidRDefault="00E538F7">
                  <w:pPr>
                    <w:framePr w:wrap="around" w:vAnchor="page" w:hAnchor="page" w:x="1082"/>
                    <w:suppressOverlap/>
                  </w:pPr>
                </w:p>
              </w:tc>
            </w:tr>
            <w:tr w:rsidR="00E538F7" w14:paraId="4866E984" w14:textId="77777777">
              <w:trPr>
                <w:trHeight w:val="266"/>
              </w:trPr>
              <w:tc>
                <w:tcPr>
                  <w:tcW w:w="1876" w:type="dxa"/>
                  <w:tcBorders>
                    <w:top w:val="single" w:sz="2" w:space="0" w:color="000000"/>
                    <w:left w:val="single" w:sz="2" w:space="0" w:color="000000"/>
                    <w:bottom w:val="single" w:sz="2" w:space="0" w:color="000000"/>
                    <w:right w:val="single" w:sz="2" w:space="0" w:color="000000"/>
                  </w:tcBorders>
                </w:tcPr>
                <w:p w14:paraId="2778FBFA" w14:textId="77777777" w:rsidR="00E538F7" w:rsidRDefault="00F341E1">
                  <w:pPr>
                    <w:framePr w:wrap="around" w:vAnchor="page" w:hAnchor="page" w:x="1082"/>
                    <w:spacing w:after="0"/>
                    <w:ind w:left="4"/>
                    <w:suppressOverlap/>
                    <w:jc w:val="center"/>
                  </w:pPr>
                  <w:proofErr w:type="spellStart"/>
                  <w:r>
                    <w:rPr>
                      <w:sz w:val="20"/>
                    </w:rPr>
                    <w:t>Audre</w:t>
                  </w:r>
                  <w:proofErr w:type="spellEnd"/>
                  <w:r>
                    <w:rPr>
                      <w:sz w:val="20"/>
                    </w:rPr>
                    <w:t xml:space="preserve"> Lorde</w:t>
                  </w:r>
                </w:p>
              </w:tc>
              <w:tc>
                <w:tcPr>
                  <w:tcW w:w="2713" w:type="dxa"/>
                  <w:tcBorders>
                    <w:top w:val="single" w:sz="2" w:space="0" w:color="000000"/>
                    <w:left w:val="single" w:sz="2" w:space="0" w:color="000000"/>
                    <w:bottom w:val="single" w:sz="2" w:space="0" w:color="000000"/>
                    <w:right w:val="single" w:sz="2" w:space="0" w:color="000000"/>
                  </w:tcBorders>
                </w:tcPr>
                <w:p w14:paraId="676778D7" w14:textId="77777777" w:rsidR="00E538F7" w:rsidRDefault="00F341E1">
                  <w:pPr>
                    <w:framePr w:wrap="around" w:vAnchor="page" w:hAnchor="page" w:x="1082"/>
                    <w:spacing w:after="0"/>
                    <w:ind w:right="3"/>
                    <w:suppressOverlap/>
                    <w:jc w:val="center"/>
                  </w:pPr>
                  <w:r>
                    <w:rPr>
                      <w:sz w:val="20"/>
                    </w:rPr>
                    <w:t>sexualidade x raça</w:t>
                  </w:r>
                </w:p>
              </w:tc>
              <w:tc>
                <w:tcPr>
                  <w:tcW w:w="0" w:type="auto"/>
                  <w:vMerge/>
                  <w:tcBorders>
                    <w:top w:val="nil"/>
                    <w:left w:val="single" w:sz="2" w:space="0" w:color="000000"/>
                    <w:bottom w:val="nil"/>
                    <w:right w:val="single" w:sz="2" w:space="0" w:color="000000"/>
                  </w:tcBorders>
                </w:tcPr>
                <w:p w14:paraId="0793B3D7" w14:textId="77777777" w:rsidR="00E538F7" w:rsidRDefault="00E538F7">
                  <w:pPr>
                    <w:framePr w:wrap="around" w:vAnchor="page" w:hAnchor="page" w:x="1082"/>
                    <w:suppressOverlap/>
                  </w:pPr>
                </w:p>
              </w:tc>
            </w:tr>
            <w:tr w:rsidR="00E538F7" w14:paraId="1B1481C5" w14:textId="77777777">
              <w:trPr>
                <w:trHeight w:val="272"/>
              </w:trPr>
              <w:tc>
                <w:tcPr>
                  <w:tcW w:w="1876" w:type="dxa"/>
                  <w:tcBorders>
                    <w:top w:val="single" w:sz="2" w:space="0" w:color="000000"/>
                    <w:left w:val="single" w:sz="2" w:space="0" w:color="000000"/>
                    <w:bottom w:val="single" w:sz="2" w:space="0" w:color="000000"/>
                    <w:right w:val="single" w:sz="2" w:space="0" w:color="000000"/>
                  </w:tcBorders>
                </w:tcPr>
                <w:p w14:paraId="2F193F73" w14:textId="77777777" w:rsidR="00E538F7" w:rsidRDefault="00F341E1">
                  <w:pPr>
                    <w:framePr w:wrap="around" w:vAnchor="page" w:hAnchor="page" w:x="1082"/>
                    <w:spacing w:after="0"/>
                    <w:ind w:left="4"/>
                    <w:suppressOverlap/>
                    <w:jc w:val="center"/>
                  </w:pPr>
                  <w:proofErr w:type="spellStart"/>
                  <w:r>
                    <w:rPr>
                      <w:sz w:val="20"/>
                    </w:rPr>
                    <w:t>Patricia</w:t>
                  </w:r>
                  <w:proofErr w:type="spellEnd"/>
                  <w:r>
                    <w:rPr>
                      <w:sz w:val="20"/>
                    </w:rPr>
                    <w:t xml:space="preserve"> Hill Collins</w:t>
                  </w:r>
                </w:p>
              </w:tc>
              <w:tc>
                <w:tcPr>
                  <w:tcW w:w="2713" w:type="dxa"/>
                  <w:tcBorders>
                    <w:top w:val="single" w:sz="2" w:space="0" w:color="000000"/>
                    <w:left w:val="single" w:sz="2" w:space="0" w:color="000000"/>
                    <w:bottom w:val="single" w:sz="2" w:space="0" w:color="000000"/>
                    <w:right w:val="single" w:sz="2" w:space="0" w:color="000000"/>
                  </w:tcBorders>
                </w:tcPr>
                <w:p w14:paraId="76A3F817" w14:textId="77777777" w:rsidR="00E538F7" w:rsidRDefault="00F341E1">
                  <w:pPr>
                    <w:framePr w:wrap="around" w:vAnchor="page" w:hAnchor="page" w:x="1082"/>
                    <w:spacing w:after="0"/>
                    <w:ind w:right="8"/>
                    <w:suppressOverlap/>
                    <w:jc w:val="center"/>
                  </w:pPr>
                  <w:proofErr w:type="spellStart"/>
                  <w:r>
                    <w:t>gêneroxra</w:t>
                  </w:r>
                  <w:proofErr w:type="spellEnd"/>
                  <w:r>
                    <w:t xml:space="preserve"> a</w:t>
                  </w:r>
                </w:p>
              </w:tc>
              <w:tc>
                <w:tcPr>
                  <w:tcW w:w="0" w:type="auto"/>
                  <w:vMerge/>
                  <w:tcBorders>
                    <w:top w:val="nil"/>
                    <w:left w:val="single" w:sz="2" w:space="0" w:color="000000"/>
                    <w:bottom w:val="single" w:sz="2" w:space="0" w:color="000000"/>
                    <w:right w:val="single" w:sz="2" w:space="0" w:color="000000"/>
                  </w:tcBorders>
                </w:tcPr>
                <w:p w14:paraId="0B7177FB" w14:textId="77777777" w:rsidR="00E538F7" w:rsidRDefault="00E538F7">
                  <w:pPr>
                    <w:framePr w:wrap="around" w:vAnchor="page" w:hAnchor="page" w:x="1082"/>
                    <w:suppressOverlap/>
                  </w:pPr>
                </w:p>
              </w:tc>
            </w:tr>
            <w:tr w:rsidR="00E538F7" w14:paraId="36FF25D6" w14:textId="77777777">
              <w:trPr>
                <w:trHeight w:val="825"/>
              </w:trPr>
              <w:tc>
                <w:tcPr>
                  <w:tcW w:w="1876" w:type="dxa"/>
                  <w:tcBorders>
                    <w:top w:val="single" w:sz="2" w:space="0" w:color="000000"/>
                    <w:left w:val="single" w:sz="2" w:space="0" w:color="000000"/>
                    <w:bottom w:val="single" w:sz="2" w:space="0" w:color="000000"/>
                    <w:right w:val="single" w:sz="2" w:space="0" w:color="000000"/>
                  </w:tcBorders>
                  <w:vAlign w:val="center"/>
                </w:tcPr>
                <w:p w14:paraId="7CC33522" w14:textId="77777777" w:rsidR="00E538F7" w:rsidRDefault="00F341E1">
                  <w:pPr>
                    <w:framePr w:wrap="around" w:vAnchor="page" w:hAnchor="page" w:x="1082"/>
                    <w:spacing w:after="0"/>
                    <w:ind w:right="22"/>
                    <w:suppressOverlap/>
                    <w:jc w:val="center"/>
                  </w:pPr>
                  <w:proofErr w:type="spellStart"/>
                  <w:r>
                    <w:rPr>
                      <w:sz w:val="20"/>
                    </w:rPr>
                    <w:t>Avtar</w:t>
                  </w:r>
                  <w:proofErr w:type="spellEnd"/>
                  <w:r>
                    <w:rPr>
                      <w:sz w:val="20"/>
                    </w:rPr>
                    <w:t xml:space="preserve"> </w:t>
                  </w:r>
                  <w:proofErr w:type="spellStart"/>
                  <w:r>
                    <w:rPr>
                      <w:sz w:val="20"/>
                    </w:rPr>
                    <w:t>Brah</w:t>
                  </w:r>
                  <w:proofErr w:type="spellEnd"/>
                </w:p>
              </w:tc>
              <w:tc>
                <w:tcPr>
                  <w:tcW w:w="2713" w:type="dxa"/>
                  <w:tcBorders>
                    <w:top w:val="single" w:sz="2" w:space="0" w:color="000000"/>
                    <w:left w:val="single" w:sz="2" w:space="0" w:color="000000"/>
                    <w:bottom w:val="single" w:sz="2" w:space="0" w:color="000000"/>
                    <w:right w:val="single" w:sz="2" w:space="0" w:color="000000"/>
                  </w:tcBorders>
                </w:tcPr>
                <w:p w14:paraId="67DA5FFF" w14:textId="77777777" w:rsidR="00E538F7" w:rsidRDefault="00F341E1">
                  <w:pPr>
                    <w:framePr w:wrap="around" w:vAnchor="page" w:hAnchor="page" w:x="1082"/>
                    <w:spacing w:after="0"/>
                    <w:suppressOverlap/>
                    <w:jc w:val="center"/>
                  </w:pPr>
                  <w:r>
                    <w:rPr>
                      <w:sz w:val="20"/>
                    </w:rPr>
                    <w:t>relação social + experiência humana + subjetividade + identidade social</w:t>
                  </w:r>
                </w:p>
              </w:tc>
              <w:tc>
                <w:tcPr>
                  <w:tcW w:w="1051" w:type="dxa"/>
                  <w:vMerge w:val="restart"/>
                  <w:tcBorders>
                    <w:top w:val="single" w:sz="2" w:space="0" w:color="000000"/>
                    <w:left w:val="single" w:sz="2" w:space="0" w:color="000000"/>
                    <w:bottom w:val="single" w:sz="2" w:space="0" w:color="000000"/>
                    <w:right w:val="single" w:sz="2" w:space="0" w:color="000000"/>
                  </w:tcBorders>
                  <w:vAlign w:val="center"/>
                </w:tcPr>
                <w:p w14:paraId="3FA1A336" w14:textId="77777777" w:rsidR="00E538F7" w:rsidRDefault="00F341E1">
                  <w:pPr>
                    <w:framePr w:wrap="around" w:vAnchor="page" w:hAnchor="page" w:x="1082"/>
                    <w:spacing w:after="0"/>
                    <w:ind w:right="10"/>
                    <w:suppressOverlap/>
                    <w:jc w:val="center"/>
                  </w:pPr>
                  <w:r>
                    <w:rPr>
                      <w:sz w:val="20"/>
                    </w:rPr>
                    <w:t>Europa</w:t>
                  </w:r>
                </w:p>
              </w:tc>
            </w:tr>
            <w:tr w:rsidR="00E538F7" w14:paraId="0913B70C" w14:textId="77777777">
              <w:trPr>
                <w:trHeight w:val="272"/>
              </w:trPr>
              <w:tc>
                <w:tcPr>
                  <w:tcW w:w="1876" w:type="dxa"/>
                  <w:tcBorders>
                    <w:top w:val="single" w:sz="2" w:space="0" w:color="000000"/>
                    <w:left w:val="single" w:sz="2" w:space="0" w:color="000000"/>
                    <w:bottom w:val="single" w:sz="2" w:space="0" w:color="000000"/>
                    <w:right w:val="single" w:sz="2" w:space="0" w:color="000000"/>
                  </w:tcBorders>
                </w:tcPr>
                <w:p w14:paraId="755B46B3" w14:textId="77777777" w:rsidR="00E538F7" w:rsidRDefault="00F341E1">
                  <w:pPr>
                    <w:framePr w:wrap="around" w:vAnchor="page" w:hAnchor="page" w:x="1082"/>
                    <w:spacing w:after="0"/>
                    <w:ind w:right="27"/>
                    <w:suppressOverlap/>
                    <w:jc w:val="center"/>
                  </w:pPr>
                  <w:r>
                    <w:rPr>
                      <w:sz w:val="20"/>
                    </w:rPr>
                    <w:t xml:space="preserve">Anne </w:t>
                  </w:r>
                  <w:proofErr w:type="spellStart"/>
                  <w:r>
                    <w:rPr>
                      <w:sz w:val="20"/>
                    </w:rPr>
                    <w:t>McKlinctock</w:t>
                  </w:r>
                  <w:proofErr w:type="spellEnd"/>
                </w:p>
              </w:tc>
              <w:tc>
                <w:tcPr>
                  <w:tcW w:w="2713" w:type="dxa"/>
                  <w:tcBorders>
                    <w:top w:val="single" w:sz="2" w:space="0" w:color="000000"/>
                    <w:left w:val="single" w:sz="2" w:space="0" w:color="000000"/>
                    <w:bottom w:val="single" w:sz="2" w:space="0" w:color="000000"/>
                    <w:right w:val="single" w:sz="2" w:space="0" w:color="000000"/>
                  </w:tcBorders>
                </w:tcPr>
                <w:p w14:paraId="49B43790" w14:textId="77777777" w:rsidR="00E538F7" w:rsidRDefault="00F341E1">
                  <w:pPr>
                    <w:framePr w:wrap="around" w:vAnchor="page" w:hAnchor="page" w:x="1082"/>
                    <w:spacing w:after="0"/>
                    <w:ind w:right="24"/>
                    <w:suppressOverlap/>
                    <w:jc w:val="center"/>
                  </w:pPr>
                  <w:r>
                    <w:rPr>
                      <w:sz w:val="20"/>
                    </w:rPr>
                    <w:t>sexualidade + raça + gênero</w:t>
                  </w:r>
                </w:p>
              </w:tc>
              <w:tc>
                <w:tcPr>
                  <w:tcW w:w="0" w:type="auto"/>
                  <w:vMerge/>
                  <w:tcBorders>
                    <w:top w:val="nil"/>
                    <w:left w:val="single" w:sz="2" w:space="0" w:color="000000"/>
                    <w:bottom w:val="single" w:sz="2" w:space="0" w:color="000000"/>
                    <w:right w:val="single" w:sz="2" w:space="0" w:color="000000"/>
                  </w:tcBorders>
                </w:tcPr>
                <w:p w14:paraId="21C476F1" w14:textId="77777777" w:rsidR="00E538F7" w:rsidRDefault="00E538F7">
                  <w:pPr>
                    <w:framePr w:wrap="around" w:vAnchor="page" w:hAnchor="page" w:x="1082"/>
                    <w:suppressOverlap/>
                  </w:pPr>
                </w:p>
              </w:tc>
            </w:tr>
          </w:tbl>
          <w:p w14:paraId="54620360" w14:textId="77777777" w:rsidR="00E538F7" w:rsidRDefault="00F341E1">
            <w:pPr>
              <w:spacing w:after="0"/>
              <w:ind w:left="-145" w:right="-4965"/>
            </w:pPr>
            <w:r>
              <w:rPr>
                <w:noProof/>
              </w:rPr>
              <w:drawing>
                <wp:inline distT="0" distB="0" distL="0" distR="0" wp14:anchorId="10A48AE5" wp14:editId="13713E6C">
                  <wp:extent cx="7929709" cy="1716211"/>
                  <wp:effectExtent l="0" t="0" r="0" b="0"/>
                  <wp:docPr id="73581" name="Picture 73581"/>
                  <wp:cNvGraphicFramePr/>
                  <a:graphic xmlns:a="http://schemas.openxmlformats.org/drawingml/2006/main">
                    <a:graphicData uri="http://schemas.openxmlformats.org/drawingml/2006/picture">
                      <pic:pic xmlns:pic="http://schemas.openxmlformats.org/drawingml/2006/picture">
                        <pic:nvPicPr>
                          <pic:cNvPr id="73581" name="Picture 73581"/>
                          <pic:cNvPicPr/>
                        </pic:nvPicPr>
                        <pic:blipFill>
                          <a:blip r:embed="rId16"/>
                          <a:stretch>
                            <a:fillRect/>
                          </a:stretch>
                        </pic:blipFill>
                        <pic:spPr>
                          <a:xfrm>
                            <a:off x="0" y="0"/>
                            <a:ext cx="7929709" cy="1716211"/>
                          </a:xfrm>
                          <a:prstGeom prst="rect">
                            <a:avLst/>
                          </a:prstGeom>
                        </pic:spPr>
                      </pic:pic>
                    </a:graphicData>
                  </a:graphic>
                </wp:inline>
              </w:drawing>
            </w:r>
          </w:p>
        </w:tc>
        <w:tc>
          <w:tcPr>
            <w:tcW w:w="7497" w:type="dxa"/>
            <w:tcBorders>
              <w:top w:val="nil"/>
              <w:left w:val="single" w:sz="2" w:space="0" w:color="000000"/>
              <w:bottom w:val="single" w:sz="2" w:space="0" w:color="000000"/>
              <w:right w:val="nil"/>
            </w:tcBorders>
            <w:vAlign w:val="bottom"/>
          </w:tcPr>
          <w:tbl>
            <w:tblPr>
              <w:tblStyle w:val="TableGrid"/>
              <w:tblW w:w="5669" w:type="dxa"/>
              <w:tblInd w:w="676" w:type="dxa"/>
              <w:tblCellMar>
                <w:top w:w="58" w:type="dxa"/>
                <w:left w:w="160" w:type="dxa"/>
                <w:bottom w:w="0" w:type="dxa"/>
                <w:right w:w="137" w:type="dxa"/>
              </w:tblCellMar>
              <w:tblLook w:val="04A0" w:firstRow="1" w:lastRow="0" w:firstColumn="1" w:lastColumn="0" w:noHBand="0" w:noVBand="1"/>
            </w:tblPr>
            <w:tblGrid>
              <w:gridCol w:w="1891"/>
              <w:gridCol w:w="2724"/>
              <w:gridCol w:w="1054"/>
            </w:tblGrid>
            <w:tr w:rsidR="00E538F7" w14:paraId="01442076" w14:textId="77777777">
              <w:trPr>
                <w:trHeight w:val="275"/>
              </w:trPr>
              <w:tc>
                <w:tcPr>
                  <w:tcW w:w="1891" w:type="dxa"/>
                  <w:tcBorders>
                    <w:top w:val="single" w:sz="2" w:space="0" w:color="000000"/>
                    <w:left w:val="single" w:sz="2" w:space="0" w:color="000000"/>
                    <w:bottom w:val="single" w:sz="2" w:space="0" w:color="000000"/>
                    <w:right w:val="single" w:sz="2" w:space="0" w:color="000000"/>
                  </w:tcBorders>
                </w:tcPr>
                <w:p w14:paraId="4F2866AC" w14:textId="77777777" w:rsidR="00E538F7" w:rsidRDefault="00F341E1">
                  <w:pPr>
                    <w:framePr w:wrap="around" w:vAnchor="page" w:hAnchor="page" w:x="1082"/>
                    <w:spacing w:after="0"/>
                    <w:ind w:right="36"/>
                    <w:suppressOverlap/>
                    <w:jc w:val="center"/>
                  </w:pPr>
                  <w:r>
                    <w:rPr>
                      <w:sz w:val="20"/>
                    </w:rPr>
                    <w:t>Rita Segato</w:t>
                  </w:r>
                </w:p>
              </w:tc>
              <w:tc>
                <w:tcPr>
                  <w:tcW w:w="2724" w:type="dxa"/>
                  <w:tcBorders>
                    <w:top w:val="single" w:sz="2" w:space="0" w:color="000000"/>
                    <w:left w:val="single" w:sz="2" w:space="0" w:color="000000"/>
                    <w:bottom w:val="single" w:sz="2" w:space="0" w:color="000000"/>
                    <w:right w:val="single" w:sz="2" w:space="0" w:color="000000"/>
                  </w:tcBorders>
                </w:tcPr>
                <w:p w14:paraId="5BF7A46E" w14:textId="77777777" w:rsidR="00E538F7" w:rsidRDefault="00F341E1">
                  <w:pPr>
                    <w:framePr w:wrap="around" w:vAnchor="page" w:hAnchor="page" w:x="1082"/>
                    <w:spacing w:after="0"/>
                    <w:ind w:right="28"/>
                    <w:suppressOverlap/>
                    <w:jc w:val="center"/>
                  </w:pPr>
                  <w:r>
                    <w:rPr>
                      <w:sz w:val="20"/>
                    </w:rPr>
                    <w:t>identidade + raça</w:t>
                  </w:r>
                </w:p>
              </w:tc>
              <w:tc>
                <w:tcPr>
                  <w:tcW w:w="1054" w:type="dxa"/>
                  <w:vMerge w:val="restart"/>
                  <w:tcBorders>
                    <w:top w:val="single" w:sz="2" w:space="0" w:color="000000"/>
                    <w:left w:val="single" w:sz="2" w:space="0" w:color="000000"/>
                    <w:bottom w:val="single" w:sz="2" w:space="0" w:color="000000"/>
                    <w:right w:val="single" w:sz="2" w:space="0" w:color="000000"/>
                  </w:tcBorders>
                  <w:vAlign w:val="center"/>
                </w:tcPr>
                <w:p w14:paraId="466C08E5" w14:textId="77777777" w:rsidR="00E538F7" w:rsidRDefault="00F341E1">
                  <w:pPr>
                    <w:framePr w:wrap="around" w:vAnchor="page" w:hAnchor="page" w:x="1082"/>
                    <w:spacing w:after="16"/>
                    <w:ind w:right="24"/>
                    <w:suppressOverlap/>
                    <w:jc w:val="center"/>
                  </w:pPr>
                  <w:r>
                    <w:rPr>
                      <w:sz w:val="20"/>
                    </w:rPr>
                    <w:t>América</w:t>
                  </w:r>
                </w:p>
                <w:p w14:paraId="399E197A" w14:textId="77777777" w:rsidR="00E538F7" w:rsidRDefault="00F341E1">
                  <w:pPr>
                    <w:framePr w:wrap="around" w:vAnchor="page" w:hAnchor="page" w:x="1082"/>
                    <w:spacing w:after="0"/>
                    <w:ind w:right="13"/>
                    <w:suppressOverlap/>
                    <w:jc w:val="center"/>
                  </w:pPr>
                  <w:r>
                    <w:rPr>
                      <w:sz w:val="20"/>
                    </w:rPr>
                    <w:t>Latina</w:t>
                  </w:r>
                </w:p>
              </w:tc>
            </w:tr>
            <w:tr w:rsidR="00E538F7" w14:paraId="16312984" w14:textId="77777777">
              <w:trPr>
                <w:trHeight w:val="270"/>
              </w:trPr>
              <w:tc>
                <w:tcPr>
                  <w:tcW w:w="1891" w:type="dxa"/>
                  <w:tcBorders>
                    <w:top w:val="single" w:sz="2" w:space="0" w:color="000000"/>
                    <w:left w:val="single" w:sz="2" w:space="0" w:color="000000"/>
                    <w:bottom w:val="single" w:sz="2" w:space="0" w:color="000000"/>
                    <w:right w:val="single" w:sz="2" w:space="0" w:color="000000"/>
                  </w:tcBorders>
                </w:tcPr>
                <w:p w14:paraId="2D9DF8C1" w14:textId="77777777" w:rsidR="00E538F7" w:rsidRDefault="00F341E1">
                  <w:pPr>
                    <w:framePr w:wrap="around" w:vAnchor="page" w:hAnchor="page" w:x="1082"/>
                    <w:spacing w:after="0"/>
                    <w:ind w:right="36"/>
                    <w:suppressOverlap/>
                    <w:jc w:val="center"/>
                  </w:pPr>
                  <w:r>
                    <w:rPr>
                      <w:sz w:val="20"/>
                    </w:rPr>
                    <w:t>Sueli Carneiro</w:t>
                  </w:r>
                </w:p>
              </w:tc>
              <w:tc>
                <w:tcPr>
                  <w:tcW w:w="2724" w:type="dxa"/>
                  <w:tcBorders>
                    <w:top w:val="single" w:sz="2" w:space="0" w:color="000000"/>
                    <w:left w:val="single" w:sz="2" w:space="0" w:color="000000"/>
                    <w:bottom w:val="single" w:sz="2" w:space="0" w:color="000000"/>
                    <w:right w:val="single" w:sz="2" w:space="0" w:color="000000"/>
                  </w:tcBorders>
                </w:tcPr>
                <w:p w14:paraId="205CCC33" w14:textId="77777777" w:rsidR="00E538F7" w:rsidRDefault="00F341E1">
                  <w:pPr>
                    <w:framePr w:wrap="around" w:vAnchor="page" w:hAnchor="page" w:x="1082"/>
                    <w:spacing w:after="0"/>
                    <w:ind w:right="28"/>
                    <w:suppressOverlap/>
                    <w:jc w:val="center"/>
                  </w:pPr>
                  <w:r>
                    <w:rPr>
                      <w:sz w:val="20"/>
                    </w:rPr>
                    <w:t>raça x gênero</w:t>
                  </w:r>
                </w:p>
              </w:tc>
              <w:tc>
                <w:tcPr>
                  <w:tcW w:w="0" w:type="auto"/>
                  <w:vMerge/>
                  <w:tcBorders>
                    <w:top w:val="nil"/>
                    <w:left w:val="single" w:sz="2" w:space="0" w:color="000000"/>
                    <w:bottom w:val="nil"/>
                    <w:right w:val="single" w:sz="2" w:space="0" w:color="000000"/>
                  </w:tcBorders>
                </w:tcPr>
                <w:p w14:paraId="23127577" w14:textId="77777777" w:rsidR="00E538F7" w:rsidRDefault="00E538F7">
                  <w:pPr>
                    <w:framePr w:wrap="around" w:vAnchor="page" w:hAnchor="page" w:x="1082"/>
                    <w:suppressOverlap/>
                  </w:pPr>
                </w:p>
              </w:tc>
            </w:tr>
            <w:tr w:rsidR="00E538F7" w14:paraId="001B9E8C" w14:textId="77777777">
              <w:trPr>
                <w:trHeight w:val="550"/>
              </w:trPr>
              <w:tc>
                <w:tcPr>
                  <w:tcW w:w="1891" w:type="dxa"/>
                  <w:tcBorders>
                    <w:top w:val="single" w:sz="2" w:space="0" w:color="000000"/>
                    <w:left w:val="single" w:sz="2" w:space="0" w:color="000000"/>
                    <w:bottom w:val="single" w:sz="2" w:space="0" w:color="000000"/>
                    <w:right w:val="single" w:sz="2" w:space="0" w:color="000000"/>
                  </w:tcBorders>
                  <w:vAlign w:val="center"/>
                </w:tcPr>
                <w:p w14:paraId="77126F86" w14:textId="77777777" w:rsidR="00E538F7" w:rsidRDefault="00F341E1">
                  <w:pPr>
                    <w:framePr w:wrap="around" w:vAnchor="page" w:hAnchor="page" w:x="1082"/>
                    <w:spacing w:after="0"/>
                    <w:ind w:right="10"/>
                    <w:suppressOverlap/>
                    <w:jc w:val="center"/>
                  </w:pPr>
                  <w:r>
                    <w:rPr>
                      <w:sz w:val="20"/>
                    </w:rPr>
                    <w:t>Luiza Bairros</w:t>
                  </w:r>
                </w:p>
              </w:tc>
              <w:tc>
                <w:tcPr>
                  <w:tcW w:w="2724" w:type="dxa"/>
                  <w:tcBorders>
                    <w:top w:val="single" w:sz="2" w:space="0" w:color="000000"/>
                    <w:left w:val="single" w:sz="2" w:space="0" w:color="000000"/>
                    <w:bottom w:val="single" w:sz="2" w:space="0" w:color="000000"/>
                    <w:right w:val="single" w:sz="2" w:space="0" w:color="000000"/>
                  </w:tcBorders>
                </w:tcPr>
                <w:p w14:paraId="194D6394" w14:textId="77777777" w:rsidR="00E538F7" w:rsidRDefault="00F341E1">
                  <w:pPr>
                    <w:framePr w:wrap="around" w:vAnchor="page" w:hAnchor="page" w:x="1082"/>
                    <w:spacing w:after="0"/>
                    <w:ind w:left="533" w:hanging="484"/>
                    <w:suppressOverlap/>
                    <w:jc w:val="both"/>
                  </w:pPr>
                  <w:r>
                    <w:rPr>
                      <w:sz w:val="20"/>
                    </w:rPr>
                    <w:t xml:space="preserve">raça x gênero x classe social x orienta </w:t>
                  </w:r>
                  <w:proofErr w:type="spellStart"/>
                  <w:r>
                    <w:rPr>
                      <w:sz w:val="20"/>
                    </w:rPr>
                    <w:t>ão</w:t>
                  </w:r>
                  <w:proofErr w:type="spellEnd"/>
                  <w:r>
                    <w:rPr>
                      <w:sz w:val="20"/>
                    </w:rPr>
                    <w:t xml:space="preserve"> sexual</w:t>
                  </w:r>
                </w:p>
              </w:tc>
              <w:tc>
                <w:tcPr>
                  <w:tcW w:w="0" w:type="auto"/>
                  <w:vMerge/>
                  <w:tcBorders>
                    <w:top w:val="nil"/>
                    <w:left w:val="single" w:sz="2" w:space="0" w:color="000000"/>
                    <w:bottom w:val="nil"/>
                    <w:right w:val="single" w:sz="2" w:space="0" w:color="000000"/>
                  </w:tcBorders>
                </w:tcPr>
                <w:p w14:paraId="48F1D23F" w14:textId="77777777" w:rsidR="00E538F7" w:rsidRDefault="00E538F7">
                  <w:pPr>
                    <w:framePr w:wrap="around" w:vAnchor="page" w:hAnchor="page" w:x="1082"/>
                    <w:suppressOverlap/>
                  </w:pPr>
                </w:p>
              </w:tc>
            </w:tr>
            <w:tr w:rsidR="00E538F7" w14:paraId="1A65AD0F" w14:textId="77777777">
              <w:trPr>
                <w:trHeight w:val="270"/>
              </w:trPr>
              <w:tc>
                <w:tcPr>
                  <w:tcW w:w="1891" w:type="dxa"/>
                  <w:tcBorders>
                    <w:top w:val="single" w:sz="2" w:space="0" w:color="000000"/>
                    <w:left w:val="single" w:sz="2" w:space="0" w:color="000000"/>
                    <w:bottom w:val="single" w:sz="2" w:space="0" w:color="000000"/>
                    <w:right w:val="single" w:sz="2" w:space="0" w:color="000000"/>
                  </w:tcBorders>
                </w:tcPr>
                <w:p w14:paraId="3E9E044D" w14:textId="77777777" w:rsidR="00E538F7" w:rsidRDefault="00F341E1">
                  <w:pPr>
                    <w:framePr w:wrap="around" w:vAnchor="page" w:hAnchor="page" w:x="1082"/>
                    <w:spacing w:after="0"/>
                    <w:ind w:right="5"/>
                    <w:suppressOverlap/>
                    <w:jc w:val="center"/>
                  </w:pPr>
                  <w:r>
                    <w:rPr>
                      <w:sz w:val="20"/>
                    </w:rPr>
                    <w:t>Lélia Gonzales</w:t>
                  </w:r>
                </w:p>
              </w:tc>
              <w:tc>
                <w:tcPr>
                  <w:tcW w:w="2724" w:type="dxa"/>
                  <w:tcBorders>
                    <w:top w:val="single" w:sz="2" w:space="0" w:color="000000"/>
                    <w:left w:val="single" w:sz="2" w:space="0" w:color="000000"/>
                    <w:bottom w:val="single" w:sz="2" w:space="0" w:color="000000"/>
                    <w:right w:val="single" w:sz="2" w:space="0" w:color="000000"/>
                  </w:tcBorders>
                </w:tcPr>
                <w:p w14:paraId="4F17D497" w14:textId="77777777" w:rsidR="00E538F7" w:rsidRDefault="00F341E1">
                  <w:pPr>
                    <w:framePr w:wrap="around" w:vAnchor="page" w:hAnchor="page" w:x="1082"/>
                    <w:spacing w:after="0"/>
                    <w:ind w:right="18"/>
                    <w:suppressOverlap/>
                    <w:jc w:val="center"/>
                  </w:pPr>
                  <w:proofErr w:type="spellStart"/>
                  <w:r>
                    <w:rPr>
                      <w:sz w:val="20"/>
                    </w:rPr>
                    <w:t>colonialidade</w:t>
                  </w:r>
                  <w:proofErr w:type="spellEnd"/>
                </w:p>
              </w:tc>
              <w:tc>
                <w:tcPr>
                  <w:tcW w:w="0" w:type="auto"/>
                  <w:vMerge/>
                  <w:tcBorders>
                    <w:top w:val="nil"/>
                    <w:left w:val="single" w:sz="2" w:space="0" w:color="000000"/>
                    <w:bottom w:val="nil"/>
                    <w:right w:val="single" w:sz="2" w:space="0" w:color="000000"/>
                  </w:tcBorders>
                </w:tcPr>
                <w:p w14:paraId="60438C2E" w14:textId="77777777" w:rsidR="00E538F7" w:rsidRDefault="00E538F7">
                  <w:pPr>
                    <w:framePr w:wrap="around" w:vAnchor="page" w:hAnchor="page" w:x="1082"/>
                    <w:suppressOverlap/>
                  </w:pPr>
                </w:p>
              </w:tc>
            </w:tr>
            <w:tr w:rsidR="00E538F7" w14:paraId="43C602F4" w14:textId="77777777">
              <w:trPr>
                <w:trHeight w:val="274"/>
              </w:trPr>
              <w:tc>
                <w:tcPr>
                  <w:tcW w:w="1891" w:type="dxa"/>
                  <w:tcBorders>
                    <w:top w:val="single" w:sz="2" w:space="0" w:color="000000"/>
                    <w:left w:val="single" w:sz="2" w:space="0" w:color="000000"/>
                    <w:bottom w:val="single" w:sz="2" w:space="0" w:color="000000"/>
                    <w:right w:val="single" w:sz="2" w:space="0" w:color="000000"/>
                  </w:tcBorders>
                </w:tcPr>
                <w:p w14:paraId="49ACE4F3" w14:textId="77777777" w:rsidR="00E538F7" w:rsidRDefault="00F341E1">
                  <w:pPr>
                    <w:framePr w:wrap="around" w:vAnchor="page" w:hAnchor="page" w:x="1082"/>
                    <w:spacing w:after="0"/>
                    <w:ind w:right="5"/>
                    <w:suppressOverlap/>
                    <w:jc w:val="center"/>
                  </w:pPr>
                  <w:r>
                    <w:rPr>
                      <w:sz w:val="20"/>
                    </w:rPr>
                    <w:t>Beatriz Nascimento</w:t>
                  </w:r>
                </w:p>
              </w:tc>
              <w:tc>
                <w:tcPr>
                  <w:tcW w:w="2724" w:type="dxa"/>
                  <w:tcBorders>
                    <w:top w:val="single" w:sz="2" w:space="0" w:color="000000"/>
                    <w:left w:val="single" w:sz="2" w:space="0" w:color="000000"/>
                    <w:bottom w:val="single" w:sz="2" w:space="0" w:color="000000"/>
                    <w:right w:val="single" w:sz="2" w:space="0" w:color="000000"/>
                  </w:tcBorders>
                </w:tcPr>
                <w:p w14:paraId="08D82994" w14:textId="77777777" w:rsidR="00E538F7" w:rsidRDefault="00F341E1">
                  <w:pPr>
                    <w:framePr w:wrap="around" w:vAnchor="page" w:hAnchor="page" w:x="1082"/>
                    <w:spacing w:after="0"/>
                    <w:ind w:right="13"/>
                    <w:suppressOverlap/>
                    <w:jc w:val="center"/>
                  </w:pPr>
                  <w:r>
                    <w:rPr>
                      <w:sz w:val="20"/>
                    </w:rPr>
                    <w:t xml:space="preserve">corporeidade negra x </w:t>
                  </w:r>
                  <w:proofErr w:type="spellStart"/>
                  <w:r>
                    <w:rPr>
                      <w:sz w:val="20"/>
                    </w:rPr>
                    <w:t>espa</w:t>
                  </w:r>
                  <w:proofErr w:type="spellEnd"/>
                  <w:r>
                    <w:rPr>
                      <w:sz w:val="20"/>
                    </w:rPr>
                    <w:t xml:space="preserve"> o</w:t>
                  </w:r>
                </w:p>
              </w:tc>
              <w:tc>
                <w:tcPr>
                  <w:tcW w:w="0" w:type="auto"/>
                  <w:vMerge/>
                  <w:tcBorders>
                    <w:top w:val="nil"/>
                    <w:left w:val="single" w:sz="2" w:space="0" w:color="000000"/>
                    <w:bottom w:val="nil"/>
                    <w:right w:val="single" w:sz="2" w:space="0" w:color="000000"/>
                  </w:tcBorders>
                </w:tcPr>
                <w:p w14:paraId="67BFCA6F" w14:textId="77777777" w:rsidR="00E538F7" w:rsidRDefault="00E538F7">
                  <w:pPr>
                    <w:framePr w:wrap="around" w:vAnchor="page" w:hAnchor="page" w:x="1082"/>
                    <w:suppressOverlap/>
                  </w:pPr>
                </w:p>
              </w:tc>
            </w:tr>
            <w:tr w:rsidR="00E538F7" w14:paraId="11FEA72B" w14:textId="77777777">
              <w:trPr>
                <w:trHeight w:val="265"/>
              </w:trPr>
              <w:tc>
                <w:tcPr>
                  <w:tcW w:w="1891" w:type="dxa"/>
                  <w:tcBorders>
                    <w:top w:val="single" w:sz="2" w:space="0" w:color="000000"/>
                    <w:left w:val="single" w:sz="2" w:space="0" w:color="000000"/>
                    <w:bottom w:val="single" w:sz="2" w:space="0" w:color="000000"/>
                    <w:right w:val="single" w:sz="2" w:space="0" w:color="000000"/>
                  </w:tcBorders>
                </w:tcPr>
                <w:p w14:paraId="1E6C236F" w14:textId="77777777" w:rsidR="00E538F7" w:rsidRDefault="00F341E1">
                  <w:pPr>
                    <w:framePr w:wrap="around" w:vAnchor="page" w:hAnchor="page" w:x="1082"/>
                    <w:spacing w:after="0"/>
                    <w:suppressOverlap/>
                  </w:pPr>
                  <w:r>
                    <w:rPr>
                      <w:sz w:val="16"/>
                    </w:rPr>
                    <w:t>Neusa Santos Sousa</w:t>
                  </w:r>
                </w:p>
              </w:tc>
              <w:tc>
                <w:tcPr>
                  <w:tcW w:w="2724" w:type="dxa"/>
                  <w:tcBorders>
                    <w:top w:val="single" w:sz="2" w:space="0" w:color="000000"/>
                    <w:left w:val="single" w:sz="2" w:space="0" w:color="000000"/>
                    <w:bottom w:val="single" w:sz="2" w:space="0" w:color="000000"/>
                    <w:right w:val="single" w:sz="2" w:space="0" w:color="000000"/>
                  </w:tcBorders>
                </w:tcPr>
                <w:p w14:paraId="3598162B" w14:textId="77777777" w:rsidR="00E538F7" w:rsidRDefault="00F341E1">
                  <w:pPr>
                    <w:framePr w:wrap="around" w:vAnchor="page" w:hAnchor="page" w:x="1082"/>
                    <w:spacing w:after="0"/>
                    <w:ind w:right="13"/>
                    <w:suppressOverlap/>
                    <w:jc w:val="center"/>
                  </w:pPr>
                  <w:proofErr w:type="spellStart"/>
                  <w:r>
                    <w:t>ra</w:t>
                  </w:r>
                  <w:proofErr w:type="spellEnd"/>
                  <w:r>
                    <w:t xml:space="preserve"> a x classe</w:t>
                  </w:r>
                </w:p>
              </w:tc>
              <w:tc>
                <w:tcPr>
                  <w:tcW w:w="0" w:type="auto"/>
                  <w:vMerge/>
                  <w:tcBorders>
                    <w:top w:val="nil"/>
                    <w:left w:val="single" w:sz="2" w:space="0" w:color="000000"/>
                    <w:bottom w:val="single" w:sz="2" w:space="0" w:color="000000"/>
                    <w:right w:val="single" w:sz="2" w:space="0" w:color="000000"/>
                  </w:tcBorders>
                </w:tcPr>
                <w:p w14:paraId="269735FB" w14:textId="77777777" w:rsidR="00E538F7" w:rsidRDefault="00E538F7">
                  <w:pPr>
                    <w:framePr w:wrap="around" w:vAnchor="page" w:hAnchor="page" w:x="1082"/>
                    <w:suppressOverlap/>
                  </w:pPr>
                </w:p>
              </w:tc>
            </w:tr>
          </w:tbl>
          <w:p w14:paraId="715FCCF2" w14:textId="77777777" w:rsidR="00E538F7" w:rsidRDefault="00F341E1">
            <w:pPr>
              <w:spacing w:after="187" w:line="230" w:lineRule="auto"/>
              <w:ind w:left="699" w:right="1128" w:firstLine="397"/>
              <w:jc w:val="both"/>
            </w:pPr>
            <w:r>
              <w:rPr>
                <w:sz w:val="26"/>
              </w:rPr>
              <w:t xml:space="preserve">Na América do Norte, especificamente nos Estados Unidos, a ativista </w:t>
            </w:r>
            <w:proofErr w:type="spellStart"/>
            <w:r>
              <w:rPr>
                <w:sz w:val="26"/>
              </w:rPr>
              <w:t>Angela</w:t>
            </w:r>
            <w:proofErr w:type="spellEnd"/>
            <w:r>
              <w:rPr>
                <w:sz w:val="26"/>
              </w:rPr>
              <w:t xml:space="preserve"> Davis defende através de seu discurso, os eixos de classe e raça bell </w:t>
            </w:r>
            <w:proofErr w:type="spellStart"/>
            <w:r>
              <w:rPr>
                <w:sz w:val="26"/>
              </w:rPr>
              <w:t>hooks</w:t>
            </w:r>
            <w:proofErr w:type="spellEnd"/>
            <w:r>
              <w:rPr>
                <w:sz w:val="26"/>
              </w:rPr>
              <w:t xml:space="preserve">, por sua vez, discute a questão da intelectualidade e a estética da mulher negra e o racismo. </w:t>
            </w:r>
            <w:proofErr w:type="spellStart"/>
            <w:r>
              <w:rPr>
                <w:sz w:val="26"/>
              </w:rPr>
              <w:t>Audre</w:t>
            </w:r>
            <w:proofErr w:type="spellEnd"/>
            <w:r>
              <w:rPr>
                <w:sz w:val="26"/>
              </w:rPr>
              <w:t xml:space="preserve"> Lorde</w:t>
            </w:r>
            <w:r>
              <w:rPr>
                <w:sz w:val="26"/>
              </w:rPr>
              <w:t xml:space="preserve"> se debruça pelos eixos de sexualidade e raça; sendo ela uma mulher negra lésbica, enegrece o movimento feminista lésbico e </w:t>
            </w:r>
            <w:proofErr w:type="spellStart"/>
            <w:r>
              <w:rPr>
                <w:sz w:val="26"/>
              </w:rPr>
              <w:t>lesbifica</w:t>
            </w:r>
            <w:proofErr w:type="spellEnd"/>
            <w:r>
              <w:rPr>
                <w:sz w:val="26"/>
              </w:rPr>
              <w:t xml:space="preserve"> o movimento negro. Segundo ela,</w:t>
            </w:r>
          </w:p>
          <w:p w14:paraId="03466631" w14:textId="77777777" w:rsidR="00E538F7" w:rsidRDefault="00F341E1">
            <w:pPr>
              <w:spacing w:after="263" w:line="217" w:lineRule="auto"/>
              <w:ind w:left="2984" w:right="1102" w:hanging="10"/>
              <w:jc w:val="both"/>
            </w:pPr>
            <w:r>
              <w:rPr>
                <w:sz w:val="24"/>
              </w:rPr>
              <w:t>entre as mulheres lésbicas, eu sou negra; e entre as pessoas negras, eu sou lésbica. Qualq</w:t>
            </w:r>
            <w:r>
              <w:rPr>
                <w:sz w:val="24"/>
              </w:rPr>
              <w:t xml:space="preserve">uer ataque contra as pessoas negras é um problema para lésbicas e gays, porque eu e milhares de outras mulheres negras somos parte da comunidade lésbica. Qualquer ataque contra lésbicas e gays é um problema para pessoas negras, </w:t>
            </w:r>
            <w:proofErr w:type="gramStart"/>
            <w:r>
              <w:rPr>
                <w:sz w:val="24"/>
              </w:rPr>
              <w:t>por que</w:t>
            </w:r>
            <w:proofErr w:type="gramEnd"/>
            <w:r>
              <w:rPr>
                <w:sz w:val="24"/>
              </w:rPr>
              <w:t xml:space="preserve"> milhares de lésbicas</w:t>
            </w:r>
            <w:r>
              <w:rPr>
                <w:sz w:val="24"/>
              </w:rPr>
              <w:t xml:space="preserve"> e homens gays </w:t>
            </w:r>
            <w:r>
              <w:rPr>
                <w:sz w:val="24"/>
              </w:rPr>
              <w:lastRenderedPageBreak/>
              <w:t>são negros. Não existe hierarquia de opressão (LORDE, 2019, p, 264).</w:t>
            </w:r>
          </w:p>
          <w:p w14:paraId="3ECB0618" w14:textId="77777777" w:rsidR="00E538F7" w:rsidRDefault="00F341E1">
            <w:pPr>
              <w:spacing w:after="472" w:line="217" w:lineRule="auto"/>
              <w:ind w:left="750" w:right="1092" w:firstLine="397"/>
              <w:jc w:val="both"/>
            </w:pPr>
            <w:r>
              <w:rPr>
                <w:sz w:val="24"/>
              </w:rPr>
              <w:t>Chamo atenção para esta intelectual, em específico, pois ela aborda a questão do erotismo como forma de empoderamento no ensaio: "Os usos do erótico: o erótico como forma d</w:t>
            </w:r>
            <w:r>
              <w:rPr>
                <w:sz w:val="24"/>
              </w:rPr>
              <w:t>e</w:t>
            </w:r>
          </w:p>
          <w:p w14:paraId="0DB5AB94" w14:textId="77777777" w:rsidR="00E538F7" w:rsidRDefault="00F341E1">
            <w:pPr>
              <w:spacing w:after="0"/>
              <w:ind w:right="327"/>
              <w:jc w:val="center"/>
            </w:pPr>
            <w:r>
              <w:rPr>
                <w:sz w:val="20"/>
              </w:rPr>
              <w:t>111</w:t>
            </w:r>
          </w:p>
        </w:tc>
      </w:tr>
    </w:tbl>
    <w:p w14:paraId="1C8B7661" w14:textId="77777777" w:rsidR="00E538F7" w:rsidRDefault="00F341E1">
      <w:pPr>
        <w:spacing w:after="0"/>
        <w:ind w:left="-1440" w:right="15380"/>
      </w:pPr>
      <w:r>
        <w:lastRenderedPageBreak/>
        <w:br w:type="page"/>
      </w:r>
    </w:p>
    <w:tbl>
      <w:tblPr>
        <w:tblStyle w:val="TableGrid"/>
        <w:tblpPr w:vertAnchor="page" w:horzAnchor="page" w:tblpX="748"/>
        <w:tblOverlap w:val="never"/>
        <w:tblW w:w="15014" w:type="dxa"/>
        <w:tblInd w:w="0" w:type="dxa"/>
        <w:tblCellMar>
          <w:top w:w="0" w:type="dxa"/>
          <w:left w:w="716" w:type="dxa"/>
          <w:bottom w:w="0" w:type="dxa"/>
          <w:right w:w="837" w:type="dxa"/>
        </w:tblCellMar>
        <w:tblLook w:val="04A0" w:firstRow="1" w:lastRow="0" w:firstColumn="1" w:lastColumn="0" w:noHBand="0" w:noVBand="1"/>
      </w:tblPr>
      <w:tblGrid>
        <w:gridCol w:w="7552"/>
        <w:gridCol w:w="7462"/>
      </w:tblGrid>
      <w:tr w:rsidR="00E538F7" w14:paraId="0F64DBEA" w14:textId="77777777">
        <w:trPr>
          <w:trHeight w:val="11352"/>
        </w:trPr>
        <w:tc>
          <w:tcPr>
            <w:tcW w:w="7552" w:type="dxa"/>
            <w:tcBorders>
              <w:top w:val="nil"/>
              <w:left w:val="nil"/>
              <w:bottom w:val="single" w:sz="2" w:space="0" w:color="000000"/>
              <w:right w:val="single" w:sz="2" w:space="0" w:color="000000"/>
            </w:tcBorders>
            <w:vAlign w:val="center"/>
          </w:tcPr>
          <w:p w14:paraId="2D4920A3" w14:textId="77777777" w:rsidR="00E538F7" w:rsidRDefault="00F341E1">
            <w:pPr>
              <w:spacing w:after="133" w:line="267" w:lineRule="auto"/>
              <w:ind w:left="312" w:firstLine="25"/>
              <w:jc w:val="both"/>
            </w:pPr>
            <w:r>
              <w:rPr>
                <w:sz w:val="24"/>
              </w:rPr>
              <w:lastRenderedPageBreak/>
              <w:t>poder" contido no livro, "Irmã Outsider", Celie</w:t>
            </w:r>
            <w:r>
              <w:rPr>
                <w:sz w:val="24"/>
                <w:vertAlign w:val="superscript"/>
              </w:rPr>
              <w:t>46</w:t>
            </w:r>
            <w:r>
              <w:rPr>
                <w:sz w:val="24"/>
              </w:rPr>
              <w:t xml:space="preserve">, protagonista do romance The color </w:t>
            </w:r>
            <w:proofErr w:type="spellStart"/>
            <w:r>
              <w:rPr>
                <w:sz w:val="24"/>
              </w:rPr>
              <w:t>purple</w:t>
            </w:r>
            <w:proofErr w:type="spellEnd"/>
            <w:r>
              <w:rPr>
                <w:sz w:val="24"/>
              </w:rPr>
              <w:t>, se emancipa a partir da descoberta de uma nova forma de amar (</w:t>
            </w:r>
            <w:proofErr w:type="spellStart"/>
            <w:r>
              <w:rPr>
                <w:sz w:val="24"/>
              </w:rPr>
              <w:t>Shug</w:t>
            </w:r>
            <w:proofErr w:type="spellEnd"/>
            <w:r>
              <w:rPr>
                <w:sz w:val="24"/>
              </w:rPr>
              <w:t xml:space="preserve"> </w:t>
            </w:r>
            <w:proofErr w:type="spellStart"/>
            <w:r>
              <w:rPr>
                <w:sz w:val="24"/>
              </w:rPr>
              <w:t>Avery</w:t>
            </w:r>
            <w:proofErr w:type="spellEnd"/>
            <w:r>
              <w:rPr>
                <w:sz w:val="24"/>
              </w:rPr>
              <w:t xml:space="preserve">), após desfrutar os prazeres de relações sexuais com outra mulher. Ainda nos EUA, a autora </w:t>
            </w:r>
            <w:proofErr w:type="spellStart"/>
            <w:r>
              <w:rPr>
                <w:sz w:val="24"/>
              </w:rPr>
              <w:t>Patricia</w:t>
            </w:r>
            <w:proofErr w:type="spellEnd"/>
            <w:r>
              <w:rPr>
                <w:sz w:val="24"/>
              </w:rPr>
              <w:t xml:space="preserve"> Hill Collins escreve observando os eixo</w:t>
            </w:r>
            <w:r>
              <w:rPr>
                <w:sz w:val="24"/>
              </w:rPr>
              <w:t>s de gênero e raça, os quais "colocam as mulheres negras em lugares específicos que as permitem ter um olhar tanto da margem onde se encontram quanto do centro onde não podem estar posicionadas" (MBANDI, 2019, p. 18).</w:t>
            </w:r>
          </w:p>
          <w:p w14:paraId="6975C5EF" w14:textId="77777777" w:rsidR="00E538F7" w:rsidRDefault="00F341E1">
            <w:pPr>
              <w:spacing w:after="96" w:line="236" w:lineRule="auto"/>
              <w:ind w:left="302" w:right="25" w:firstLine="407"/>
              <w:jc w:val="both"/>
            </w:pPr>
            <w:r>
              <w:rPr>
                <w:sz w:val="24"/>
              </w:rPr>
              <w:t>Na Europa, precisamente, no Reino Unid</w:t>
            </w:r>
            <w:r>
              <w:rPr>
                <w:sz w:val="24"/>
              </w:rPr>
              <w:t xml:space="preserve">o, </w:t>
            </w:r>
            <w:proofErr w:type="spellStart"/>
            <w:r>
              <w:rPr>
                <w:sz w:val="24"/>
              </w:rPr>
              <w:t>Avtar</w:t>
            </w:r>
            <w:proofErr w:type="spellEnd"/>
            <w:r>
              <w:rPr>
                <w:sz w:val="24"/>
              </w:rPr>
              <w:t xml:space="preserve"> </w:t>
            </w:r>
            <w:proofErr w:type="spellStart"/>
            <w:r>
              <w:rPr>
                <w:sz w:val="24"/>
              </w:rPr>
              <w:t>Brah</w:t>
            </w:r>
            <w:proofErr w:type="spellEnd"/>
            <w:r>
              <w:rPr>
                <w:sz w:val="24"/>
              </w:rPr>
              <w:t xml:space="preserve"> e Anne </w:t>
            </w:r>
            <w:proofErr w:type="spellStart"/>
            <w:r>
              <w:rPr>
                <w:sz w:val="24"/>
              </w:rPr>
              <w:t>McKlinctock</w:t>
            </w:r>
            <w:proofErr w:type="spellEnd"/>
            <w:r>
              <w:rPr>
                <w:sz w:val="24"/>
              </w:rPr>
              <w:t xml:space="preserve"> escrevem a respeito dos eixos sob a ótica aditiva, essa perspectiva difere da teoria interseccional, pois propõe a soma dos marcadores sociais. "A Interseccionalidade propõe que a gente supere a ideia de adição" (MBANDI, 20</w:t>
            </w:r>
            <w:r>
              <w:rPr>
                <w:sz w:val="24"/>
              </w:rPr>
              <w:t>20).</w:t>
            </w:r>
          </w:p>
          <w:p w14:paraId="66374EEB" w14:textId="77777777" w:rsidR="00E538F7" w:rsidRDefault="00F341E1">
            <w:pPr>
              <w:spacing w:after="100" w:line="270" w:lineRule="auto"/>
              <w:ind w:left="287" w:right="46" w:firstLine="407"/>
              <w:jc w:val="both"/>
            </w:pPr>
            <w:r>
              <w:rPr>
                <w:sz w:val="24"/>
              </w:rPr>
              <w:t>Na América Latina, Rita Segato, Sueli Carneiro, Luiza Bairros, Lélia Gonzales, Beatriz Nascimento, Neusa Sousa, todas essas mulheres têm discutido acerca de sexualidade, identidade de gênero, corporeidade e o lugar das mulheres negras na sociedade.</w:t>
            </w:r>
          </w:p>
          <w:p w14:paraId="72DB7931" w14:textId="77777777" w:rsidR="00E538F7" w:rsidRDefault="00F341E1">
            <w:pPr>
              <w:spacing w:after="70" w:line="263" w:lineRule="auto"/>
              <w:ind w:left="272" w:right="61" w:firstLine="412"/>
              <w:jc w:val="both"/>
            </w:pPr>
            <w:r>
              <w:rPr>
                <w:sz w:val="24"/>
              </w:rPr>
              <w:t>Haja visto a trajetória dessas mulheres no Brasil e no mundo, que vinham refletindo questões ligadas aos marcadores sociais e a forma como esses caminhos se cruzavam, posso dizer que se trata de uma teoria interseccional, embora ainda não houvesse uma legi</w:t>
            </w:r>
            <w:r>
              <w:rPr>
                <w:sz w:val="24"/>
              </w:rPr>
              <w:t>timação através de um conceito propriamente dito. A autora Collins (1990, 1998) nomeia as</w:t>
            </w:r>
          </w:p>
          <w:p w14:paraId="68C53540" w14:textId="77777777" w:rsidR="00E538F7" w:rsidRDefault="00F341E1">
            <w:pPr>
              <w:spacing w:after="71"/>
              <w:ind w:left="256"/>
            </w:pPr>
            <w:r>
              <w:rPr>
                <w:noProof/>
              </w:rPr>
              <w:drawing>
                <wp:inline distT="0" distB="0" distL="0" distR="0" wp14:anchorId="7A7476CB" wp14:editId="60FE4779">
                  <wp:extent cx="918075" cy="22624"/>
                  <wp:effectExtent l="0" t="0" r="0" b="0"/>
                  <wp:docPr id="27430" name="Picture 27430"/>
                  <wp:cNvGraphicFramePr/>
                  <a:graphic xmlns:a="http://schemas.openxmlformats.org/drawingml/2006/main">
                    <a:graphicData uri="http://schemas.openxmlformats.org/drawingml/2006/picture">
                      <pic:pic xmlns:pic="http://schemas.openxmlformats.org/drawingml/2006/picture">
                        <pic:nvPicPr>
                          <pic:cNvPr id="27430" name="Picture 27430"/>
                          <pic:cNvPicPr/>
                        </pic:nvPicPr>
                        <pic:blipFill>
                          <a:blip r:embed="rId17"/>
                          <a:stretch>
                            <a:fillRect/>
                          </a:stretch>
                        </pic:blipFill>
                        <pic:spPr>
                          <a:xfrm>
                            <a:off x="0" y="0"/>
                            <a:ext cx="918075" cy="22624"/>
                          </a:xfrm>
                          <a:prstGeom prst="rect">
                            <a:avLst/>
                          </a:prstGeom>
                        </pic:spPr>
                      </pic:pic>
                    </a:graphicData>
                  </a:graphic>
                </wp:inline>
              </w:drawing>
            </w:r>
          </w:p>
          <w:p w14:paraId="7098BA2E" w14:textId="77777777" w:rsidR="00E538F7" w:rsidRDefault="00F341E1">
            <w:pPr>
              <w:spacing w:after="524" w:line="216" w:lineRule="auto"/>
              <w:ind w:left="430" w:hanging="92"/>
            </w:pPr>
            <w:r>
              <w:rPr>
                <w:sz w:val="18"/>
                <w:vertAlign w:val="superscript"/>
              </w:rPr>
              <w:t xml:space="preserve">46 </w:t>
            </w:r>
            <w:r>
              <w:rPr>
                <w:sz w:val="18"/>
              </w:rPr>
              <w:t xml:space="preserve">Menciono a personagem </w:t>
            </w:r>
            <w:proofErr w:type="spellStart"/>
            <w:r>
              <w:rPr>
                <w:sz w:val="18"/>
              </w:rPr>
              <w:t>Celie</w:t>
            </w:r>
            <w:proofErr w:type="spellEnd"/>
            <w:r>
              <w:rPr>
                <w:sz w:val="18"/>
              </w:rPr>
              <w:t>, pois desenvolvo um estudo sobre a ela seguindo um viés linguístico (sistêmico-funcional) e interseccional no mestrado.</w:t>
            </w:r>
          </w:p>
          <w:p w14:paraId="2E2B6010" w14:textId="77777777" w:rsidR="00E538F7" w:rsidRDefault="00F341E1">
            <w:pPr>
              <w:spacing w:after="0"/>
              <w:ind w:left="160"/>
              <w:jc w:val="center"/>
            </w:pPr>
            <w:r>
              <w:rPr>
                <w:sz w:val="20"/>
              </w:rPr>
              <w:t>112</w:t>
            </w:r>
          </w:p>
        </w:tc>
        <w:tc>
          <w:tcPr>
            <w:tcW w:w="7462" w:type="dxa"/>
            <w:tcBorders>
              <w:top w:val="nil"/>
              <w:left w:val="single" w:sz="2" w:space="0" w:color="000000"/>
              <w:bottom w:val="single" w:sz="2" w:space="0" w:color="000000"/>
              <w:right w:val="single" w:sz="2" w:space="0" w:color="000000"/>
            </w:tcBorders>
            <w:vAlign w:val="center"/>
          </w:tcPr>
          <w:p w14:paraId="51110846" w14:textId="77777777" w:rsidR="00E538F7" w:rsidRDefault="00F341E1">
            <w:pPr>
              <w:spacing w:after="108" w:line="234" w:lineRule="auto"/>
              <w:ind w:right="228" w:firstLine="15"/>
              <w:jc w:val="both"/>
            </w:pPr>
            <w:r>
              <w:rPr>
                <w:sz w:val="24"/>
              </w:rPr>
              <w:t xml:space="preserve">relações </w:t>
            </w:r>
            <w:r>
              <w:rPr>
                <w:sz w:val="24"/>
              </w:rPr>
              <w:t xml:space="preserve">interconectadas como "Matriz de dominação"47; essa foi a definição mais próxima da noção de Interseccionalidade, O conceito foi incorporado por </w:t>
            </w:r>
            <w:proofErr w:type="spellStart"/>
            <w:r>
              <w:rPr>
                <w:sz w:val="24"/>
              </w:rPr>
              <w:t>Kimberlé</w:t>
            </w:r>
            <w:proofErr w:type="spellEnd"/>
            <w:r>
              <w:rPr>
                <w:sz w:val="24"/>
              </w:rPr>
              <w:t xml:space="preserve"> </w:t>
            </w:r>
            <w:proofErr w:type="spellStart"/>
            <w:r>
              <w:rPr>
                <w:sz w:val="24"/>
              </w:rPr>
              <w:t>Crenshaw</w:t>
            </w:r>
            <w:proofErr w:type="spellEnd"/>
            <w:r>
              <w:rPr>
                <w:sz w:val="24"/>
              </w:rPr>
              <w:t xml:space="preserve"> na década de 1980, quando ela aplicou essas conexões no âmbito da hierarquia social, Para </w:t>
            </w:r>
            <w:proofErr w:type="spellStart"/>
            <w:r>
              <w:rPr>
                <w:sz w:val="24"/>
              </w:rPr>
              <w:t>Kimb</w:t>
            </w:r>
            <w:r>
              <w:rPr>
                <w:sz w:val="24"/>
              </w:rPr>
              <w:t>erlé</w:t>
            </w:r>
            <w:proofErr w:type="spellEnd"/>
            <w:r>
              <w:rPr>
                <w:sz w:val="24"/>
              </w:rPr>
              <w:t xml:space="preserve">, a interseccionalidade pode ser compreendida como uma metáfora para entender as maneiras pelas quais várias formas de desigualdade </w:t>
            </w:r>
            <w:r>
              <w:rPr>
                <w:sz w:val="24"/>
              </w:rPr>
              <w:t xml:space="preserve">ou opressão se constituem. Essas formas de opressão e de </w:t>
            </w:r>
            <w:r>
              <w:rPr>
                <w:sz w:val="24"/>
              </w:rPr>
              <w:t>desigualdade criam obstáculos, que muitas vezes não podem ser e</w:t>
            </w:r>
            <w:r>
              <w:rPr>
                <w:sz w:val="24"/>
              </w:rPr>
              <w:t>ntendidas dentro das formas convencionais de pensar sobre o antirracismo ou o feminismo ou quaisquer outras estruturas de defesa da justiça social (CRENSHAW, 2017).</w:t>
            </w:r>
          </w:p>
          <w:p w14:paraId="157743B1" w14:textId="77777777" w:rsidR="00E538F7" w:rsidRDefault="00F341E1">
            <w:pPr>
              <w:spacing w:after="475" w:line="216" w:lineRule="auto"/>
              <w:ind w:left="15" w:right="213" w:firstLine="402"/>
              <w:jc w:val="both"/>
            </w:pPr>
            <w:r>
              <w:rPr>
                <w:sz w:val="24"/>
              </w:rPr>
              <w:t xml:space="preserve">Um exemplo clássico da primeira menção do termo "interseccionalidade" nos escritos de </w:t>
            </w:r>
            <w:proofErr w:type="spellStart"/>
            <w:r>
              <w:rPr>
                <w:sz w:val="24"/>
              </w:rPr>
              <w:t>Crens</w:t>
            </w:r>
            <w:r>
              <w:rPr>
                <w:sz w:val="24"/>
              </w:rPr>
              <w:t>haw</w:t>
            </w:r>
            <w:proofErr w:type="spellEnd"/>
            <w:r>
              <w:rPr>
                <w:sz w:val="24"/>
              </w:rPr>
              <w:t>, foi em 1989, por meio do artigo intitulado: "</w:t>
            </w:r>
            <w:proofErr w:type="spellStart"/>
            <w:r>
              <w:rPr>
                <w:sz w:val="24"/>
              </w:rPr>
              <w:t>Desmarginalizando</w:t>
            </w:r>
            <w:proofErr w:type="spellEnd"/>
            <w:r>
              <w:rPr>
                <w:sz w:val="24"/>
              </w:rPr>
              <w:t xml:space="preserve"> a interseção de raça e sexo: uma crítica feminista negra à doutrina da discriminação, teoria feminista e política antirracista". Trata-se de um estudo da área do direito, no qual a pesquis</w:t>
            </w:r>
            <w:r>
              <w:rPr>
                <w:sz w:val="24"/>
              </w:rPr>
              <w:t>adora analisa um caso que aconteceu entre a empresa estadunidense General Motors (GM) e ex-funcionárias negras, onde cinco das que foram demitidas entraram com um processo contra a GM alegando discriminação (de gênero). A Corte não acatou o pedido das ex-f</w:t>
            </w:r>
            <w:r>
              <w:rPr>
                <w:sz w:val="24"/>
              </w:rPr>
              <w:t>uncionárias; uma vez que na empresa trabalhavam outras mulheres "brancas" na função de secretária. Elas tentaram novamente, agora, por racismo. E mais uma vez tiveram o processo indeferido, pois na GM trabalhavam</w:t>
            </w:r>
          </w:p>
          <w:p w14:paraId="1B6CA41C" w14:textId="77777777" w:rsidR="00E538F7" w:rsidRDefault="00F341E1">
            <w:pPr>
              <w:spacing w:after="543" w:line="216" w:lineRule="auto"/>
              <w:ind w:left="204" w:right="213" w:hanging="87"/>
              <w:jc w:val="both"/>
            </w:pPr>
            <w:r>
              <w:rPr>
                <w:sz w:val="18"/>
                <w:vertAlign w:val="superscript"/>
              </w:rPr>
              <w:t xml:space="preserve">47 </w:t>
            </w:r>
            <w:r>
              <w:rPr>
                <w:sz w:val="18"/>
              </w:rPr>
              <w:t>diz respeito a forma com que as opressõe</w:t>
            </w:r>
            <w:r>
              <w:rPr>
                <w:sz w:val="18"/>
              </w:rPr>
              <w:t xml:space="preserve">s se desenvolvem </w:t>
            </w:r>
            <w:proofErr w:type="gramStart"/>
            <w:r>
              <w:rPr>
                <w:sz w:val="18"/>
              </w:rPr>
              <w:t>e também</w:t>
            </w:r>
            <w:proofErr w:type="gramEnd"/>
            <w:r>
              <w:rPr>
                <w:sz w:val="18"/>
              </w:rPr>
              <w:t xml:space="preserve"> a maneira com que as mesmas se articulam mutuamente a partir de uma organização social que fortalece os sistemas de dominação que estruturam o poder hegemónico" (BUENO, 2019).</w:t>
            </w:r>
          </w:p>
          <w:p w14:paraId="31E0929A" w14:textId="77777777" w:rsidR="00E538F7" w:rsidRDefault="00F341E1">
            <w:pPr>
              <w:spacing w:after="0"/>
              <w:ind w:right="167"/>
              <w:jc w:val="center"/>
            </w:pPr>
            <w:r>
              <w:rPr>
                <w:sz w:val="20"/>
              </w:rPr>
              <w:t>113</w:t>
            </w:r>
          </w:p>
        </w:tc>
      </w:tr>
    </w:tbl>
    <w:p w14:paraId="2B555BCD" w14:textId="77777777" w:rsidR="00E538F7" w:rsidRDefault="00F341E1">
      <w:pPr>
        <w:spacing w:after="0"/>
        <w:ind w:left="-1440" w:right="15380"/>
      </w:pPr>
      <w:r>
        <w:rPr>
          <w:noProof/>
        </w:rPr>
        <w:lastRenderedPageBreak/>
        <mc:AlternateContent>
          <mc:Choice Requires="wpg">
            <w:drawing>
              <wp:anchor distT="0" distB="0" distL="114300" distR="114300" simplePos="0" relativeHeight="251664384" behindDoc="0" locked="0" layoutInCell="1" allowOverlap="1" wp14:anchorId="1608E55F" wp14:editId="6E541D04">
                <wp:simplePos x="0" y="0"/>
                <wp:positionH relativeFrom="page">
                  <wp:posOffset>3992332</wp:posOffset>
                </wp:positionH>
                <wp:positionV relativeFrom="page">
                  <wp:posOffset>7230064</wp:posOffset>
                </wp:positionV>
                <wp:extent cx="6012743" cy="19392"/>
                <wp:effectExtent l="0" t="0" r="0" b="0"/>
                <wp:wrapTopAndBottom/>
                <wp:docPr id="73584" name="Group 73584"/>
                <wp:cNvGraphicFramePr/>
                <a:graphic xmlns:a="http://schemas.openxmlformats.org/drawingml/2006/main">
                  <a:graphicData uri="http://schemas.microsoft.com/office/word/2010/wordprocessingGroup">
                    <wpg:wgp>
                      <wpg:cNvGrpSpPr/>
                      <wpg:grpSpPr>
                        <a:xfrm>
                          <a:off x="0" y="0"/>
                          <a:ext cx="6012743" cy="19392"/>
                          <a:chOff x="0" y="0"/>
                          <a:chExt cx="6012743" cy="19392"/>
                        </a:xfrm>
                      </wpg:grpSpPr>
                      <wps:wsp>
                        <wps:cNvPr id="73583" name="Shape 73583"/>
                        <wps:cNvSpPr/>
                        <wps:spPr>
                          <a:xfrm>
                            <a:off x="0" y="0"/>
                            <a:ext cx="6012743" cy="19392"/>
                          </a:xfrm>
                          <a:custGeom>
                            <a:avLst/>
                            <a:gdLst/>
                            <a:ahLst/>
                            <a:cxnLst/>
                            <a:rect l="0" t="0" r="0" b="0"/>
                            <a:pathLst>
                              <a:path w="6012743" h="19392">
                                <a:moveTo>
                                  <a:pt x="0" y="9696"/>
                                </a:moveTo>
                                <a:lnTo>
                                  <a:pt x="6012743" y="9696"/>
                                </a:lnTo>
                              </a:path>
                            </a:pathLst>
                          </a:custGeom>
                          <a:ln w="19392"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73584" style="width:473.444pt;height:1.52692pt;position:absolute;mso-position-horizontal-relative:page;mso-position-horizontal:absolute;margin-left:314.357pt;mso-position-vertical-relative:page;margin-top:569.296pt;" coordsize="60127,193">
                <v:shape id="Shape 73583" style="position:absolute;width:60127;height:193;left:0;top:0;" coordsize="6012743,19392" path="m0,9696l6012743,9696">
                  <v:stroke weight="1.52692pt" endcap="flat" joinstyle="miter" miterlimit="1" on="true" color="#000000"/>
                  <v:fill on="false" color="#000000"/>
                </v:shape>
                <w10:wrap type="topAndBottom"/>
              </v:group>
            </w:pict>
          </mc:Fallback>
        </mc:AlternateContent>
      </w:r>
      <w:r>
        <w:br w:type="page"/>
      </w:r>
    </w:p>
    <w:tbl>
      <w:tblPr>
        <w:tblStyle w:val="TableGrid"/>
        <w:tblpPr w:vertAnchor="page" w:horzAnchor="page" w:tblpX="835"/>
        <w:tblOverlap w:val="never"/>
        <w:tblW w:w="15006" w:type="dxa"/>
        <w:tblInd w:w="0" w:type="dxa"/>
        <w:tblCellMar>
          <w:top w:w="0" w:type="dxa"/>
          <w:left w:w="771" w:type="dxa"/>
          <w:bottom w:w="0" w:type="dxa"/>
          <w:right w:w="74" w:type="dxa"/>
        </w:tblCellMar>
        <w:tblLook w:val="04A0" w:firstRow="1" w:lastRow="0" w:firstColumn="1" w:lastColumn="0" w:noHBand="0" w:noVBand="1"/>
      </w:tblPr>
      <w:tblGrid>
        <w:gridCol w:w="7481"/>
        <w:gridCol w:w="7525"/>
      </w:tblGrid>
      <w:tr w:rsidR="00E538F7" w14:paraId="058EB361" w14:textId="77777777">
        <w:trPr>
          <w:trHeight w:val="11391"/>
        </w:trPr>
        <w:tc>
          <w:tcPr>
            <w:tcW w:w="7481" w:type="dxa"/>
            <w:tcBorders>
              <w:top w:val="nil"/>
              <w:left w:val="nil"/>
              <w:bottom w:val="single" w:sz="2" w:space="0" w:color="000000"/>
              <w:right w:val="single" w:sz="2" w:space="0" w:color="000000"/>
            </w:tcBorders>
            <w:vAlign w:val="center"/>
          </w:tcPr>
          <w:p w14:paraId="04AF9F5E" w14:textId="77777777" w:rsidR="00E538F7" w:rsidRDefault="00F341E1">
            <w:pPr>
              <w:spacing w:after="467" w:line="216" w:lineRule="auto"/>
              <w:ind w:left="221" w:right="732" w:firstLine="15"/>
              <w:jc w:val="both"/>
            </w:pPr>
            <w:r>
              <w:rPr>
                <w:sz w:val="24"/>
              </w:rPr>
              <w:lastRenderedPageBreak/>
              <w:t xml:space="preserve">homens "negros" nas funções consideradas "pesadas" (trabalho braçal), E assim, </w:t>
            </w:r>
            <w:proofErr w:type="spellStart"/>
            <w:r>
              <w:rPr>
                <w:sz w:val="24"/>
              </w:rPr>
              <w:t>Crenshaw</w:t>
            </w:r>
            <w:proofErr w:type="spellEnd"/>
            <w:r>
              <w:rPr>
                <w:sz w:val="24"/>
              </w:rPr>
              <w:t xml:space="preserve"> percebeu que não se tratava apenas de um tipo de discriminação, mas sim de algo que permeava entre o eixo de subordinação do sexismo e do racismo. Para ilustrar o caso </w:t>
            </w:r>
            <w:r>
              <w:rPr>
                <w:sz w:val="24"/>
              </w:rPr>
              <w:t>descrito anteriormente, apresento a figura a seguir.</w:t>
            </w:r>
          </w:p>
          <w:p w14:paraId="60818F18" w14:textId="77777777" w:rsidR="00E538F7" w:rsidRDefault="00F341E1">
            <w:pPr>
              <w:spacing w:after="0"/>
              <w:ind w:left="781"/>
            </w:pPr>
            <w:r>
              <w:rPr>
                <w:sz w:val="20"/>
              </w:rPr>
              <w:t>Figura 1 - Ilustração do caso ocorrido na General Motors</w:t>
            </w:r>
          </w:p>
          <w:tbl>
            <w:tblPr>
              <w:tblStyle w:val="TableGrid"/>
              <w:tblW w:w="4465" w:type="dxa"/>
              <w:tblInd w:w="802" w:type="dxa"/>
              <w:tblCellMar>
                <w:top w:w="0" w:type="dxa"/>
                <w:left w:w="115" w:type="dxa"/>
                <w:bottom w:w="146" w:type="dxa"/>
                <w:right w:w="115" w:type="dxa"/>
              </w:tblCellMar>
              <w:tblLook w:val="04A0" w:firstRow="1" w:lastRow="0" w:firstColumn="1" w:lastColumn="0" w:noHBand="0" w:noVBand="1"/>
            </w:tblPr>
            <w:tblGrid>
              <w:gridCol w:w="4465"/>
            </w:tblGrid>
            <w:tr w:rsidR="00E538F7" w14:paraId="627F5C0B" w14:textId="77777777">
              <w:trPr>
                <w:trHeight w:val="3130"/>
              </w:trPr>
              <w:tc>
                <w:tcPr>
                  <w:tcW w:w="4465" w:type="dxa"/>
                  <w:tcBorders>
                    <w:top w:val="single" w:sz="2" w:space="0" w:color="000000"/>
                    <w:left w:val="single" w:sz="2" w:space="0" w:color="000000"/>
                    <w:bottom w:val="single" w:sz="2" w:space="0" w:color="000000"/>
                    <w:right w:val="single" w:sz="2" w:space="0" w:color="000000"/>
                  </w:tcBorders>
                  <w:vAlign w:val="bottom"/>
                </w:tcPr>
                <w:tbl>
                  <w:tblPr>
                    <w:tblStyle w:val="TableGrid"/>
                    <w:tblW w:w="2001" w:type="dxa"/>
                    <w:tblInd w:w="1096" w:type="dxa"/>
                    <w:tblCellMar>
                      <w:top w:w="59" w:type="dxa"/>
                      <w:left w:w="178" w:type="dxa"/>
                      <w:bottom w:w="0" w:type="dxa"/>
                      <w:right w:w="115" w:type="dxa"/>
                    </w:tblCellMar>
                    <w:tblLook w:val="04A0" w:firstRow="1" w:lastRow="0" w:firstColumn="1" w:lastColumn="0" w:noHBand="0" w:noVBand="1"/>
                  </w:tblPr>
                  <w:tblGrid>
                    <w:gridCol w:w="2001"/>
                  </w:tblGrid>
                  <w:tr w:rsidR="00E538F7" w14:paraId="02D1BCE5" w14:textId="77777777">
                    <w:trPr>
                      <w:trHeight w:val="261"/>
                    </w:trPr>
                    <w:tc>
                      <w:tcPr>
                        <w:tcW w:w="2001" w:type="dxa"/>
                        <w:tcBorders>
                          <w:top w:val="single" w:sz="2" w:space="0" w:color="000000"/>
                          <w:left w:val="single" w:sz="2" w:space="0" w:color="000000"/>
                          <w:bottom w:val="single" w:sz="2" w:space="0" w:color="000000"/>
                          <w:right w:val="single" w:sz="2" w:space="0" w:color="000000"/>
                        </w:tcBorders>
                      </w:tcPr>
                      <w:p w14:paraId="655B8387" w14:textId="77777777" w:rsidR="00E538F7" w:rsidRDefault="00F341E1">
                        <w:pPr>
                          <w:framePr w:wrap="around" w:vAnchor="page" w:hAnchor="page" w:x="835"/>
                          <w:spacing w:after="0"/>
                          <w:suppressOverlap/>
                        </w:pPr>
                        <w:r>
                          <w:rPr>
                            <w:sz w:val="18"/>
                          </w:rPr>
                          <w:t>MULHERES NEGRAS</w:t>
                        </w:r>
                      </w:p>
                    </w:tc>
                  </w:tr>
                </w:tbl>
                <w:p w14:paraId="4348516B" w14:textId="77777777" w:rsidR="00E538F7" w:rsidRDefault="00F341E1">
                  <w:pPr>
                    <w:framePr w:wrap="around" w:vAnchor="page" w:hAnchor="page" w:x="835"/>
                    <w:tabs>
                      <w:tab w:val="center" w:pos="1239"/>
                      <w:tab w:val="center" w:pos="2947"/>
                    </w:tabs>
                    <w:spacing w:after="909"/>
                    <w:suppressOverlap/>
                  </w:pPr>
                  <w:r>
                    <w:rPr>
                      <w:sz w:val="28"/>
                    </w:rPr>
                    <w:tab/>
                  </w:r>
                  <w:r>
                    <w:rPr>
                      <w:sz w:val="28"/>
                    </w:rPr>
                    <w:t>Sexismo</w:t>
                  </w:r>
                  <w:r>
                    <w:rPr>
                      <w:sz w:val="28"/>
                    </w:rPr>
                    <w:tab/>
                    <w:t>Racismo</w:t>
                  </w:r>
                </w:p>
                <w:p w14:paraId="48684080" w14:textId="77777777" w:rsidR="00E538F7" w:rsidRDefault="00F341E1">
                  <w:pPr>
                    <w:framePr w:wrap="around" w:vAnchor="page" w:hAnchor="page" w:x="835"/>
                    <w:spacing w:after="0"/>
                    <w:ind w:right="71"/>
                    <w:suppressOverlap/>
                    <w:jc w:val="center"/>
                  </w:pPr>
                  <w:r>
                    <w:rPr>
                      <w:sz w:val="18"/>
                    </w:rPr>
                    <w:t>Eixos de subordinação</w:t>
                  </w:r>
                </w:p>
              </w:tc>
            </w:tr>
          </w:tbl>
          <w:p w14:paraId="4AFB0144" w14:textId="77777777" w:rsidR="00E538F7" w:rsidRDefault="00F341E1">
            <w:pPr>
              <w:spacing w:after="518"/>
              <w:ind w:right="603"/>
              <w:jc w:val="center"/>
            </w:pPr>
            <w:r>
              <w:rPr>
                <w:sz w:val="20"/>
              </w:rPr>
              <w:t xml:space="preserve">Fonte: x </w:t>
            </w:r>
            <w:proofErr w:type="spellStart"/>
            <w:r>
              <w:rPr>
                <w:sz w:val="20"/>
              </w:rPr>
              <w:t>próprix</w:t>
            </w:r>
            <w:proofErr w:type="spellEnd"/>
            <w:r>
              <w:rPr>
                <w:sz w:val="20"/>
              </w:rPr>
              <w:t xml:space="preserve"> autor,</w:t>
            </w:r>
          </w:p>
          <w:p w14:paraId="1A6C5D6E" w14:textId="77777777" w:rsidR="00E538F7" w:rsidRDefault="00F341E1">
            <w:pPr>
              <w:spacing w:after="757" w:line="217" w:lineRule="auto"/>
              <w:ind w:left="165" w:right="788" w:firstLine="417"/>
              <w:jc w:val="both"/>
            </w:pPr>
            <w:r>
              <w:rPr>
                <w:sz w:val="24"/>
              </w:rPr>
              <w:t>A partir da ilustração do caso da GM, contida na figura 1, posso inferir que o caso contou com dois eixos de subordinação: do lado esquerdo, o sexismo, representando as mulheres brancas; do lado direito, o racismo, caracterizando os homens negros; e no cen</w:t>
            </w:r>
            <w:r>
              <w:rPr>
                <w:sz w:val="24"/>
              </w:rPr>
              <w:t xml:space="preserve">tro, um pontinho preto, marcando a discriminação interseccional que as ex-funcionárias negras da General Motors sofreram. Complemento esta discussão com a fala de Carla </w:t>
            </w:r>
            <w:proofErr w:type="spellStart"/>
            <w:r>
              <w:rPr>
                <w:sz w:val="24"/>
              </w:rPr>
              <w:t>Akotirene</w:t>
            </w:r>
            <w:proofErr w:type="spellEnd"/>
            <w:r>
              <w:rPr>
                <w:sz w:val="24"/>
              </w:rPr>
              <w:t xml:space="preserve"> que:</w:t>
            </w:r>
          </w:p>
          <w:p w14:paraId="4A4902A0" w14:textId="77777777" w:rsidR="00E538F7" w:rsidRDefault="00F341E1">
            <w:pPr>
              <w:spacing w:after="0"/>
              <w:ind w:right="643"/>
              <w:jc w:val="center"/>
            </w:pPr>
            <w:r>
              <w:rPr>
                <w:sz w:val="20"/>
              </w:rPr>
              <w:t>114</w:t>
            </w:r>
          </w:p>
        </w:tc>
        <w:tc>
          <w:tcPr>
            <w:tcW w:w="7525" w:type="dxa"/>
            <w:tcBorders>
              <w:top w:val="nil"/>
              <w:left w:val="single" w:sz="2" w:space="0" w:color="000000"/>
              <w:bottom w:val="single" w:sz="2" w:space="0" w:color="000000"/>
              <w:right w:val="nil"/>
            </w:tcBorders>
            <w:vAlign w:val="center"/>
          </w:tcPr>
          <w:p w14:paraId="6DF6A0C5" w14:textId="77777777" w:rsidR="00E538F7" w:rsidRDefault="00F341E1">
            <w:pPr>
              <w:spacing w:after="721" w:line="216" w:lineRule="auto"/>
              <w:ind w:left="2260" w:right="1003" w:firstLine="10"/>
              <w:jc w:val="both"/>
            </w:pPr>
            <w:r>
              <w:rPr>
                <w:noProof/>
              </w:rPr>
              <w:drawing>
                <wp:anchor distT="0" distB="0" distL="114300" distR="114300" simplePos="0" relativeHeight="251665408" behindDoc="0" locked="0" layoutInCell="1" allowOverlap="0" wp14:anchorId="2BEA0270" wp14:editId="4B6C5063">
                  <wp:simplePos x="0" y="0"/>
                  <wp:positionH relativeFrom="column">
                    <wp:posOffset>4698668</wp:posOffset>
                  </wp:positionH>
                  <wp:positionV relativeFrom="paragraph">
                    <wp:posOffset>-174887</wp:posOffset>
                  </wp:positionV>
                  <wp:extent cx="32327" cy="6842221"/>
                  <wp:effectExtent l="0" t="0" r="0" b="0"/>
                  <wp:wrapSquare wrapText="bothSides"/>
                  <wp:docPr id="73585" name="Picture 73585"/>
                  <wp:cNvGraphicFramePr/>
                  <a:graphic xmlns:a="http://schemas.openxmlformats.org/drawingml/2006/main">
                    <a:graphicData uri="http://schemas.openxmlformats.org/drawingml/2006/picture">
                      <pic:pic xmlns:pic="http://schemas.openxmlformats.org/drawingml/2006/picture">
                        <pic:nvPicPr>
                          <pic:cNvPr id="73585" name="Picture 73585"/>
                          <pic:cNvPicPr/>
                        </pic:nvPicPr>
                        <pic:blipFill>
                          <a:blip r:embed="rId18"/>
                          <a:stretch>
                            <a:fillRect/>
                          </a:stretch>
                        </pic:blipFill>
                        <pic:spPr>
                          <a:xfrm>
                            <a:off x="0" y="0"/>
                            <a:ext cx="32327" cy="6842221"/>
                          </a:xfrm>
                          <a:prstGeom prst="rect">
                            <a:avLst/>
                          </a:prstGeom>
                        </pic:spPr>
                      </pic:pic>
                    </a:graphicData>
                  </a:graphic>
                </wp:anchor>
              </w:drawing>
            </w:r>
            <w:r>
              <w:t xml:space="preserve">Para a Corte, tradicionalmente masculina e branca, é muito difícil </w:t>
            </w:r>
            <w:r>
              <w:t xml:space="preserve">compreender a identidade interseccional e criminalizar o racismo e o sexismo institucionalizados contra as mulheres negras sem enveredar pelos </w:t>
            </w:r>
            <w:proofErr w:type="gramStart"/>
            <w:r>
              <w:t>mesmo expedientes</w:t>
            </w:r>
            <w:proofErr w:type="gramEnd"/>
            <w:r>
              <w:t xml:space="preserve"> que as levam a recorrer às leis antidiscriminação, senão </w:t>
            </w:r>
            <w:proofErr w:type="spellStart"/>
            <w:r>
              <w:t>desmarginalizar</w:t>
            </w:r>
            <w:proofErr w:type="spellEnd"/>
            <w:r>
              <w:t xml:space="preserve"> raça e gênero (AKOTIRE</w:t>
            </w:r>
            <w:r>
              <w:t>NE, 2019, p. 63).</w:t>
            </w:r>
          </w:p>
          <w:p w14:paraId="29828DF1" w14:textId="77777777" w:rsidR="00E538F7" w:rsidRDefault="00F341E1">
            <w:pPr>
              <w:spacing w:after="125" w:line="236" w:lineRule="auto"/>
              <w:ind w:right="1003" w:firstLine="402"/>
              <w:jc w:val="both"/>
            </w:pPr>
            <w:r>
              <w:rPr>
                <w:sz w:val="24"/>
              </w:rPr>
              <w:t>Casos como o da GM são bastante comuns e bem piores, hoje em dia. As pessoas negras que muitas vezes são impossibilitadas de trabalhar, e quando conseguem, no caso das mulheres negras, são selecionadas para serviços de limpeza (serviços g</w:t>
            </w:r>
            <w:r>
              <w:rPr>
                <w:sz w:val="24"/>
              </w:rPr>
              <w:t xml:space="preserve">erais). Enquanto os homens negros continuam sendo contratados para os trabalhos braçais, </w:t>
            </w:r>
            <w:proofErr w:type="gramStart"/>
            <w:r>
              <w:rPr>
                <w:sz w:val="24"/>
              </w:rPr>
              <w:t>Isso</w:t>
            </w:r>
            <w:proofErr w:type="gramEnd"/>
            <w:r>
              <w:rPr>
                <w:sz w:val="24"/>
              </w:rPr>
              <w:t xml:space="preserve"> piora quando se tratam de pessoas </w:t>
            </w:r>
            <w:proofErr w:type="spellStart"/>
            <w:r>
              <w:rPr>
                <w:sz w:val="24"/>
              </w:rPr>
              <w:t>transgêneras</w:t>
            </w:r>
            <w:proofErr w:type="spellEnd"/>
            <w:r>
              <w:rPr>
                <w:sz w:val="24"/>
              </w:rPr>
              <w:t>.</w:t>
            </w:r>
          </w:p>
          <w:p w14:paraId="108C3171" w14:textId="77777777" w:rsidR="00E538F7" w:rsidRDefault="00F341E1">
            <w:pPr>
              <w:spacing w:after="472" w:line="229" w:lineRule="auto"/>
              <w:ind w:right="1008" w:firstLine="402"/>
              <w:jc w:val="both"/>
            </w:pPr>
            <w:r>
              <w:rPr>
                <w:sz w:val="24"/>
              </w:rPr>
              <w:t>Desse modo, compreendo que a interseccionalidade é capaz de explicar a simultaneidade dos eixos de subordinação, q</w:t>
            </w:r>
            <w:r>
              <w:rPr>
                <w:sz w:val="24"/>
              </w:rPr>
              <w:t xml:space="preserve">ue se configuram </w:t>
            </w:r>
            <w:proofErr w:type="spellStart"/>
            <w:r>
              <w:rPr>
                <w:sz w:val="24"/>
              </w:rPr>
              <w:t>sócio-históricamente</w:t>
            </w:r>
            <w:proofErr w:type="spellEnd"/>
            <w:r>
              <w:rPr>
                <w:sz w:val="24"/>
              </w:rPr>
              <w:t xml:space="preserve"> na formação mútua da produção e reprodução de desigualdades sociais, enquanto um indivíduo está sendo afetado por um dos eixos, ele está afetando outro indivíduo por outro eixo.</w:t>
            </w:r>
          </w:p>
          <w:p w14:paraId="6D517C30" w14:textId="77777777" w:rsidR="00E538F7" w:rsidRDefault="00F341E1">
            <w:pPr>
              <w:spacing w:after="200" w:line="216" w:lineRule="auto"/>
              <w:ind w:left="402" w:right="382"/>
            </w:pPr>
            <w:r>
              <w:rPr>
                <w:sz w:val="26"/>
              </w:rPr>
              <w:t>A INTERSECCIONALIDADE COMO INSTRUMENTO A</w:t>
            </w:r>
            <w:r>
              <w:rPr>
                <w:sz w:val="26"/>
              </w:rPr>
              <w:t>NALÍTICO</w:t>
            </w:r>
          </w:p>
          <w:p w14:paraId="6A1629DB" w14:textId="77777777" w:rsidR="00E538F7" w:rsidRDefault="00F341E1">
            <w:pPr>
              <w:spacing w:after="499" w:line="237" w:lineRule="auto"/>
              <w:ind w:left="5" w:right="1008" w:firstLine="402"/>
              <w:jc w:val="both"/>
            </w:pPr>
            <w:r>
              <w:rPr>
                <w:sz w:val="24"/>
              </w:rPr>
              <w:t>A teoria interseccional é considerada um dos maiores paradigmas na teorização feminista e antirracista, na atualidade. E, embora seja algo potente para levantar debate acerca do sujeito interseccionado por eixos de subordinação, tem-se</w:t>
            </w:r>
          </w:p>
          <w:p w14:paraId="6F50B077" w14:textId="77777777" w:rsidR="00E538F7" w:rsidRDefault="00F341E1">
            <w:pPr>
              <w:spacing w:after="0"/>
              <w:ind w:right="1003"/>
              <w:jc w:val="center"/>
            </w:pPr>
            <w:r>
              <w:rPr>
                <w:sz w:val="20"/>
              </w:rPr>
              <w:t>115</w:t>
            </w:r>
          </w:p>
        </w:tc>
      </w:tr>
      <w:tr w:rsidR="00E538F7" w14:paraId="433D941E" w14:textId="77777777">
        <w:trPr>
          <w:trHeight w:val="71"/>
        </w:trPr>
        <w:tc>
          <w:tcPr>
            <w:tcW w:w="15006" w:type="dxa"/>
            <w:gridSpan w:val="2"/>
            <w:tcBorders>
              <w:top w:val="single" w:sz="2" w:space="0" w:color="000000"/>
              <w:left w:val="nil"/>
              <w:bottom w:val="nil"/>
              <w:right w:val="single" w:sz="2" w:space="0" w:color="000000"/>
            </w:tcBorders>
          </w:tcPr>
          <w:p w14:paraId="4E844450" w14:textId="77777777" w:rsidR="00E538F7" w:rsidRDefault="00E538F7"/>
        </w:tc>
      </w:tr>
    </w:tbl>
    <w:p w14:paraId="2C6821AF" w14:textId="77777777" w:rsidR="00E538F7" w:rsidRDefault="00F341E1">
      <w:pPr>
        <w:spacing w:after="0"/>
        <w:ind w:left="-1440" w:right="15380"/>
      </w:pPr>
      <w:r>
        <w:br w:type="page"/>
      </w:r>
    </w:p>
    <w:tbl>
      <w:tblPr>
        <w:tblStyle w:val="TableGrid"/>
        <w:tblpPr w:vertAnchor="page" w:horzAnchor="page" w:tblpX="1105"/>
        <w:tblOverlap w:val="never"/>
        <w:tblW w:w="15074" w:type="dxa"/>
        <w:tblInd w:w="0" w:type="dxa"/>
        <w:tblCellMar>
          <w:top w:w="0" w:type="dxa"/>
          <w:left w:w="771" w:type="dxa"/>
          <w:bottom w:w="0" w:type="dxa"/>
          <w:right w:w="767" w:type="dxa"/>
        </w:tblCellMar>
        <w:tblLook w:val="04A0" w:firstRow="1" w:lastRow="0" w:firstColumn="1" w:lastColumn="0" w:noHBand="0" w:noVBand="1"/>
      </w:tblPr>
      <w:tblGrid>
        <w:gridCol w:w="1544"/>
        <w:gridCol w:w="6190"/>
        <w:gridCol w:w="7340"/>
      </w:tblGrid>
      <w:tr w:rsidR="00E538F7" w14:paraId="1FC0C217" w14:textId="77777777">
        <w:trPr>
          <w:trHeight w:val="11372"/>
        </w:trPr>
        <w:tc>
          <w:tcPr>
            <w:tcW w:w="227" w:type="dxa"/>
            <w:tcBorders>
              <w:top w:val="nil"/>
              <w:left w:val="single" w:sz="2" w:space="0" w:color="000000"/>
              <w:bottom w:val="nil"/>
              <w:right w:val="nil"/>
            </w:tcBorders>
          </w:tcPr>
          <w:p w14:paraId="31E107CC" w14:textId="77777777" w:rsidR="00E538F7" w:rsidRDefault="00E538F7"/>
        </w:tc>
        <w:tc>
          <w:tcPr>
            <w:tcW w:w="7336" w:type="dxa"/>
            <w:tcBorders>
              <w:top w:val="nil"/>
              <w:left w:val="nil"/>
              <w:bottom w:val="single" w:sz="2" w:space="0" w:color="000000"/>
              <w:right w:val="single" w:sz="2" w:space="0" w:color="000000"/>
            </w:tcBorders>
            <w:vAlign w:val="center"/>
          </w:tcPr>
          <w:p w14:paraId="20F4F30E" w14:textId="77777777" w:rsidR="00E538F7" w:rsidRDefault="00F341E1">
            <w:pPr>
              <w:spacing w:after="88" w:line="274" w:lineRule="auto"/>
              <w:ind w:left="107" w:firstLine="25"/>
              <w:jc w:val="both"/>
            </w:pPr>
            <w:r>
              <w:rPr>
                <w:sz w:val="24"/>
              </w:rPr>
              <w:t>falado pouco sobre como estudar a teoria interseccional como metodologia (MCCALL, 2005). Porém, estudiosas/os e intelectuais feministas têm pensado uma forma de articular a Interseccionalidade como uma ferramenta teórico-metodológica capaz de entender como</w:t>
            </w:r>
            <w:r>
              <w:rPr>
                <w:sz w:val="24"/>
              </w:rPr>
              <w:t xml:space="preserve"> as opressões simbólico-discursivas e estruturais estão articuladas dentro das estruturas sociais.</w:t>
            </w:r>
          </w:p>
          <w:p w14:paraId="701D20AC" w14:textId="77777777" w:rsidR="00E538F7" w:rsidRDefault="00F341E1">
            <w:pPr>
              <w:spacing w:after="175" w:line="256" w:lineRule="auto"/>
              <w:ind w:left="66" w:right="36" w:firstLine="438"/>
              <w:jc w:val="both"/>
            </w:pPr>
            <w:r>
              <w:rPr>
                <w:sz w:val="24"/>
              </w:rPr>
              <w:t xml:space="preserve">Para </w:t>
            </w:r>
            <w:proofErr w:type="spellStart"/>
            <w:r>
              <w:rPr>
                <w:sz w:val="24"/>
              </w:rPr>
              <w:t>Akotirene</w:t>
            </w:r>
            <w:proofErr w:type="spellEnd"/>
            <w:r>
              <w:rPr>
                <w:sz w:val="24"/>
              </w:rPr>
              <w:t xml:space="preserve"> (2019, p. 44), "a interseccionalidade nos instrumentaliza a enxergar a matriz colonial moderna</w:t>
            </w:r>
            <w:r>
              <w:rPr>
                <w:sz w:val="24"/>
                <w:vertAlign w:val="superscript"/>
              </w:rPr>
              <w:t xml:space="preserve">48 </w:t>
            </w:r>
            <w:r>
              <w:rPr>
                <w:sz w:val="24"/>
              </w:rPr>
              <w:t>contra os grupos tratados como oprimidos". Um</w:t>
            </w:r>
            <w:r>
              <w:rPr>
                <w:sz w:val="24"/>
              </w:rPr>
              <w:t xml:space="preserve">a maneira de compreender os eixos de discriminações estruturais dominantes -- </w:t>
            </w:r>
            <w:proofErr w:type="spellStart"/>
            <w:r>
              <w:rPr>
                <w:sz w:val="24"/>
              </w:rPr>
              <w:t>cis-heteropatriarcado</w:t>
            </w:r>
            <w:proofErr w:type="spellEnd"/>
            <w:r>
              <w:rPr>
                <w:sz w:val="24"/>
              </w:rPr>
              <w:t xml:space="preserve">, racismo e capitalismo - na sociedade, seria através do desenvolvimento de estudos produzidos no campo discursivo das avenidas identitárias. E assim pensar </w:t>
            </w:r>
            <w:r>
              <w:rPr>
                <w:sz w:val="24"/>
              </w:rPr>
              <w:t>de que forma a sobreposição dessas avenidas produzem eixos de subordinação.</w:t>
            </w:r>
          </w:p>
          <w:p w14:paraId="287B565B" w14:textId="77777777" w:rsidR="00E538F7" w:rsidRDefault="00F341E1">
            <w:pPr>
              <w:spacing w:after="1329" w:line="281" w:lineRule="auto"/>
              <w:ind w:left="31" w:right="81" w:firstLine="433"/>
              <w:jc w:val="both"/>
            </w:pPr>
            <w:r>
              <w:rPr>
                <w:sz w:val="24"/>
              </w:rPr>
              <w:t xml:space="preserve">Diante disso, </w:t>
            </w:r>
            <w:proofErr w:type="spellStart"/>
            <w:r>
              <w:rPr>
                <w:sz w:val="24"/>
              </w:rPr>
              <w:t>Crenshaw</w:t>
            </w:r>
            <w:proofErr w:type="spellEnd"/>
            <w:r>
              <w:rPr>
                <w:sz w:val="24"/>
              </w:rPr>
              <w:t xml:space="preserve"> (2002) indaga que a interseccionalidade pode ser utilizada como um mecanismo que busca capturar as consequências estruturais e dinâmicas da interação entre d</w:t>
            </w:r>
            <w:r>
              <w:rPr>
                <w:sz w:val="24"/>
              </w:rPr>
              <w:t>ois ou mais eixos da subordinação, A figura a seguir retrata alguns destes eixos que participam da construção da subalternização de alguns indivíduos e do privilégio de outros:</w:t>
            </w:r>
          </w:p>
          <w:p w14:paraId="1EAC9BE1" w14:textId="77777777" w:rsidR="00E538F7" w:rsidRDefault="00F341E1">
            <w:pPr>
              <w:spacing w:after="537" w:line="241" w:lineRule="auto"/>
              <w:ind w:left="158" w:right="132" w:firstLine="66"/>
              <w:jc w:val="both"/>
            </w:pPr>
            <w:r>
              <w:rPr>
                <w:sz w:val="18"/>
              </w:rPr>
              <w:lastRenderedPageBreak/>
              <w:t xml:space="preserve">"Tal matriz colonial moderna remete a um lugar onde o </w:t>
            </w:r>
            <w:proofErr w:type="spellStart"/>
            <w:r>
              <w:rPr>
                <w:sz w:val="18"/>
              </w:rPr>
              <w:t>cisheteropatriarcado</w:t>
            </w:r>
            <w:proofErr w:type="spellEnd"/>
            <w:r>
              <w:rPr>
                <w:sz w:val="18"/>
              </w:rPr>
              <w:t xml:space="preserve"> cont</w:t>
            </w:r>
            <w:r>
              <w:rPr>
                <w:sz w:val="18"/>
              </w:rPr>
              <w:t>inua em espaços de poder, usufruindo de privilégios herdados desde o Brasil Colônia, e, oprimindo nas mais variadas formas os diferentes grupos pertencentes às minorias sociais" (JÚNIOR, 2020, p. 13),</w:t>
            </w:r>
          </w:p>
          <w:p w14:paraId="5EE4D0C4" w14:textId="77777777" w:rsidR="00E538F7" w:rsidRDefault="00F341E1">
            <w:pPr>
              <w:spacing w:after="0"/>
              <w:ind w:right="173"/>
              <w:jc w:val="center"/>
            </w:pPr>
            <w:r>
              <w:rPr>
                <w:sz w:val="20"/>
              </w:rPr>
              <w:t>116</w:t>
            </w:r>
          </w:p>
        </w:tc>
        <w:tc>
          <w:tcPr>
            <w:tcW w:w="7511" w:type="dxa"/>
            <w:tcBorders>
              <w:top w:val="nil"/>
              <w:left w:val="single" w:sz="2" w:space="0" w:color="000000"/>
              <w:bottom w:val="single" w:sz="2" w:space="0" w:color="000000"/>
              <w:right w:val="nil"/>
            </w:tcBorders>
            <w:vAlign w:val="center"/>
          </w:tcPr>
          <w:p w14:paraId="0B29DABB" w14:textId="77777777" w:rsidR="00E538F7" w:rsidRDefault="00F341E1">
            <w:pPr>
              <w:spacing w:after="0"/>
              <w:ind w:right="374"/>
              <w:jc w:val="center"/>
            </w:pPr>
            <w:r>
              <w:rPr>
                <w:sz w:val="20"/>
              </w:rPr>
              <w:lastRenderedPageBreak/>
              <w:t>Figura 2 - Eixos de subordinaçã0</w:t>
            </w:r>
            <w:r>
              <w:rPr>
                <w:sz w:val="20"/>
                <w:vertAlign w:val="superscript"/>
              </w:rPr>
              <w:t>49</w:t>
            </w:r>
          </w:p>
          <w:tbl>
            <w:tblPr>
              <w:tblStyle w:val="TableGrid"/>
              <w:tblW w:w="5185" w:type="dxa"/>
              <w:tblInd w:w="219" w:type="dxa"/>
              <w:tblCellMar>
                <w:top w:w="0" w:type="dxa"/>
                <w:left w:w="143" w:type="dxa"/>
                <w:bottom w:w="133" w:type="dxa"/>
                <w:right w:w="115" w:type="dxa"/>
              </w:tblCellMar>
              <w:tblLook w:val="04A0" w:firstRow="1" w:lastRow="0" w:firstColumn="1" w:lastColumn="0" w:noHBand="0" w:noVBand="1"/>
            </w:tblPr>
            <w:tblGrid>
              <w:gridCol w:w="5185"/>
            </w:tblGrid>
            <w:tr w:rsidR="00E538F7" w14:paraId="5CDCB9F8" w14:textId="77777777">
              <w:trPr>
                <w:trHeight w:val="3817"/>
              </w:trPr>
              <w:tc>
                <w:tcPr>
                  <w:tcW w:w="5185" w:type="dxa"/>
                  <w:tcBorders>
                    <w:top w:val="single" w:sz="2" w:space="0" w:color="000000"/>
                    <w:left w:val="single" w:sz="2" w:space="0" w:color="000000"/>
                    <w:bottom w:val="single" w:sz="2" w:space="0" w:color="000000"/>
                    <w:right w:val="single" w:sz="2" w:space="0" w:color="000000"/>
                  </w:tcBorders>
                  <w:vAlign w:val="bottom"/>
                </w:tcPr>
                <w:p w14:paraId="5FB8DE25" w14:textId="77777777" w:rsidR="00E538F7" w:rsidRDefault="00F341E1">
                  <w:pPr>
                    <w:framePr w:wrap="around" w:vAnchor="page" w:hAnchor="page" w:x="1105"/>
                    <w:spacing w:after="0"/>
                    <w:ind w:left="1665"/>
                    <w:suppressOverlap/>
                  </w:pPr>
                  <w:r>
                    <w:rPr>
                      <w:sz w:val="20"/>
                    </w:rPr>
                    <w:t>Género</w:t>
                  </w:r>
                </w:p>
                <w:p w14:paraId="522F23B5" w14:textId="77777777" w:rsidR="00E538F7" w:rsidRDefault="00F341E1">
                  <w:pPr>
                    <w:framePr w:wrap="around" w:vAnchor="page" w:hAnchor="page" w:x="1105"/>
                    <w:tabs>
                      <w:tab w:val="center" w:pos="1319"/>
                      <w:tab w:val="center" w:pos="2701"/>
                      <w:tab w:val="center" w:pos="3149"/>
                    </w:tabs>
                    <w:spacing w:after="272"/>
                    <w:suppressOverlap/>
                  </w:pPr>
                  <w:r>
                    <w:rPr>
                      <w:sz w:val="18"/>
                    </w:rPr>
                    <w:tab/>
                  </w:r>
                  <w:r>
                    <w:rPr>
                      <w:noProof/>
                    </w:rPr>
                    <w:drawing>
                      <wp:inline distT="0" distB="0" distL="0" distR="0" wp14:anchorId="1554CDAB" wp14:editId="7162DB94">
                        <wp:extent cx="219821" cy="193922"/>
                        <wp:effectExtent l="0" t="0" r="0" b="0"/>
                        <wp:docPr id="73593" name="Picture 73593"/>
                        <wp:cNvGraphicFramePr/>
                        <a:graphic xmlns:a="http://schemas.openxmlformats.org/drawingml/2006/main">
                          <a:graphicData uri="http://schemas.openxmlformats.org/drawingml/2006/picture">
                            <pic:pic xmlns:pic="http://schemas.openxmlformats.org/drawingml/2006/picture">
                              <pic:nvPicPr>
                                <pic:cNvPr id="73593" name="Picture 73593"/>
                                <pic:cNvPicPr/>
                              </pic:nvPicPr>
                              <pic:blipFill>
                                <a:blip r:embed="rId19"/>
                                <a:stretch>
                                  <a:fillRect/>
                                </a:stretch>
                              </pic:blipFill>
                              <pic:spPr>
                                <a:xfrm>
                                  <a:off x="0" y="0"/>
                                  <a:ext cx="219821" cy="193922"/>
                                </a:xfrm>
                                <a:prstGeom prst="rect">
                                  <a:avLst/>
                                </a:prstGeom>
                              </pic:spPr>
                            </pic:pic>
                          </a:graphicData>
                        </a:graphic>
                      </wp:inline>
                    </w:drawing>
                  </w:r>
                  <w:r>
                    <w:rPr>
                      <w:sz w:val="18"/>
                    </w:rPr>
                    <w:tab/>
                  </w:r>
                  <w:r>
                    <w:rPr>
                      <w:noProof/>
                    </w:rPr>
                    <w:drawing>
                      <wp:inline distT="0" distB="0" distL="0" distR="0" wp14:anchorId="788EC163" wp14:editId="179DE04A">
                        <wp:extent cx="9698" cy="193922"/>
                        <wp:effectExtent l="0" t="0" r="0" b="0"/>
                        <wp:docPr id="73589" name="Picture 73589"/>
                        <wp:cNvGraphicFramePr/>
                        <a:graphic xmlns:a="http://schemas.openxmlformats.org/drawingml/2006/main">
                          <a:graphicData uri="http://schemas.openxmlformats.org/drawingml/2006/picture">
                            <pic:pic xmlns:pic="http://schemas.openxmlformats.org/drawingml/2006/picture">
                              <pic:nvPicPr>
                                <pic:cNvPr id="73589" name="Picture 73589"/>
                                <pic:cNvPicPr/>
                              </pic:nvPicPr>
                              <pic:blipFill>
                                <a:blip r:embed="rId20"/>
                                <a:stretch>
                                  <a:fillRect/>
                                </a:stretch>
                              </pic:blipFill>
                              <pic:spPr>
                                <a:xfrm>
                                  <a:off x="0" y="0"/>
                                  <a:ext cx="9698" cy="193922"/>
                                </a:xfrm>
                                <a:prstGeom prst="rect">
                                  <a:avLst/>
                                </a:prstGeom>
                              </pic:spPr>
                            </pic:pic>
                          </a:graphicData>
                        </a:graphic>
                      </wp:inline>
                    </w:drawing>
                  </w:r>
                  <w:r>
                    <w:rPr>
                      <w:sz w:val="18"/>
                    </w:rPr>
                    <w:tab/>
                    <w:t>Raça</w:t>
                  </w:r>
                </w:p>
                <w:p w14:paraId="7579B0AA" w14:textId="77777777" w:rsidR="00E538F7" w:rsidRDefault="00F341E1">
                  <w:pPr>
                    <w:framePr w:wrap="around" w:vAnchor="page" w:hAnchor="page" w:x="1105"/>
                    <w:spacing w:after="0"/>
                    <w:ind w:left="723"/>
                    <w:suppressOverlap/>
                  </w:pPr>
                  <w:proofErr w:type="spellStart"/>
                  <w:r>
                    <w:rPr>
                      <w:sz w:val="18"/>
                    </w:rPr>
                    <w:t>Orientaçã</w:t>
                  </w:r>
                  <w:proofErr w:type="spellEnd"/>
                </w:p>
                <w:p w14:paraId="587B68C3" w14:textId="77777777" w:rsidR="00E538F7" w:rsidRDefault="00F341E1">
                  <w:pPr>
                    <w:framePr w:wrap="around" w:vAnchor="page" w:hAnchor="page" w:x="1105"/>
                    <w:spacing w:after="0"/>
                    <w:ind w:right="60"/>
                    <w:suppressOverlap/>
                    <w:jc w:val="center"/>
                  </w:pPr>
                  <w:r>
                    <w:rPr>
                      <w:sz w:val="14"/>
                    </w:rPr>
                    <w:t>Racismo</w:t>
                  </w:r>
                </w:p>
                <w:p w14:paraId="116ED630" w14:textId="77777777" w:rsidR="00E538F7" w:rsidRDefault="00F341E1">
                  <w:pPr>
                    <w:framePr w:wrap="around" w:vAnchor="page" w:hAnchor="page" w:x="1105"/>
                    <w:tabs>
                      <w:tab w:val="center" w:pos="952"/>
                      <w:tab w:val="center" w:pos="3844"/>
                    </w:tabs>
                    <w:spacing w:after="0"/>
                    <w:suppressOverlap/>
                  </w:pPr>
                  <w:r>
                    <w:rPr>
                      <w:sz w:val="18"/>
                    </w:rPr>
                    <w:tab/>
                  </w:r>
                  <w:r>
                    <w:rPr>
                      <w:sz w:val="18"/>
                    </w:rPr>
                    <w:t>sexual</w:t>
                  </w:r>
                  <w:r>
                    <w:rPr>
                      <w:sz w:val="18"/>
                    </w:rPr>
                    <w:tab/>
                    <w:t>Classe</w:t>
                  </w:r>
                </w:p>
                <w:p w14:paraId="641B9EA4" w14:textId="77777777" w:rsidR="00E538F7" w:rsidRDefault="00F341E1">
                  <w:pPr>
                    <w:framePr w:wrap="around" w:vAnchor="page" w:hAnchor="page" w:x="1105"/>
                    <w:spacing w:after="89"/>
                    <w:ind w:right="20"/>
                    <w:suppressOverlap/>
                    <w:jc w:val="center"/>
                  </w:pPr>
                  <w:r>
                    <w:rPr>
                      <w:sz w:val="14"/>
                    </w:rPr>
                    <w:t>Capital ismo</w:t>
                  </w:r>
                </w:p>
                <w:p w14:paraId="12A1E40E" w14:textId="77777777" w:rsidR="00E538F7" w:rsidRDefault="00F341E1">
                  <w:pPr>
                    <w:framePr w:wrap="around" w:vAnchor="page" w:hAnchor="page" w:x="1105"/>
                    <w:spacing w:after="209"/>
                    <w:ind w:left="21"/>
                    <w:suppressOverlap/>
                    <w:jc w:val="center"/>
                  </w:pPr>
                  <w:proofErr w:type="spellStart"/>
                  <w:r>
                    <w:rPr>
                      <w:sz w:val="14"/>
                    </w:rPr>
                    <w:t>Cisheteropotriarcado</w:t>
                  </w:r>
                  <w:proofErr w:type="spellEnd"/>
                </w:p>
                <w:p w14:paraId="67B6A4D5" w14:textId="77777777" w:rsidR="00E538F7" w:rsidRDefault="00F341E1">
                  <w:pPr>
                    <w:framePr w:wrap="around" w:vAnchor="page" w:hAnchor="page" w:x="1105"/>
                    <w:spacing w:after="70" w:line="280" w:lineRule="auto"/>
                    <w:ind w:left="957" w:right="1196" w:hanging="5"/>
                    <w:suppressOverlap/>
                  </w:pPr>
                  <w:r>
                    <w:rPr>
                      <w:noProof/>
                    </w:rPr>
                    <w:drawing>
                      <wp:anchor distT="0" distB="0" distL="114300" distR="114300" simplePos="0" relativeHeight="251666432" behindDoc="0" locked="0" layoutInCell="1" allowOverlap="0" wp14:anchorId="1EB22AF6" wp14:editId="3426DC0F">
                        <wp:simplePos x="0" y="0"/>
                        <wp:positionH relativeFrom="column">
                          <wp:posOffset>2052738</wp:posOffset>
                        </wp:positionH>
                        <wp:positionV relativeFrom="paragraph">
                          <wp:posOffset>24622</wp:posOffset>
                        </wp:positionV>
                        <wp:extent cx="407315" cy="407236"/>
                        <wp:effectExtent l="0" t="0" r="0" b="0"/>
                        <wp:wrapSquare wrapText="bothSides"/>
                        <wp:docPr id="73587" name="Picture 73587"/>
                        <wp:cNvGraphicFramePr/>
                        <a:graphic xmlns:a="http://schemas.openxmlformats.org/drawingml/2006/main">
                          <a:graphicData uri="http://schemas.openxmlformats.org/drawingml/2006/picture">
                            <pic:pic xmlns:pic="http://schemas.openxmlformats.org/drawingml/2006/picture">
                              <pic:nvPicPr>
                                <pic:cNvPr id="73587" name="Picture 73587"/>
                                <pic:cNvPicPr/>
                              </pic:nvPicPr>
                              <pic:blipFill>
                                <a:blip r:embed="rId21"/>
                                <a:stretch>
                                  <a:fillRect/>
                                </a:stretch>
                              </pic:blipFill>
                              <pic:spPr>
                                <a:xfrm>
                                  <a:off x="0" y="0"/>
                                  <a:ext cx="407315" cy="407236"/>
                                </a:xfrm>
                                <a:prstGeom prst="rect">
                                  <a:avLst/>
                                </a:prstGeom>
                              </pic:spPr>
                            </pic:pic>
                          </a:graphicData>
                        </a:graphic>
                      </wp:anchor>
                    </w:drawing>
                  </w:r>
                  <w:r>
                    <w:rPr>
                      <w:sz w:val="18"/>
                    </w:rPr>
                    <w:t>Tipo de corpo</w:t>
                  </w:r>
                  <w:r>
                    <w:rPr>
                      <w:sz w:val="18"/>
                    </w:rPr>
                    <w:tab/>
                  </w:r>
                  <w:r>
                    <w:rPr>
                      <w:noProof/>
                    </w:rPr>
                    <w:drawing>
                      <wp:inline distT="0" distB="0" distL="0" distR="0" wp14:anchorId="51D50A3C" wp14:editId="74F67104">
                        <wp:extent cx="12931" cy="206850"/>
                        <wp:effectExtent l="0" t="0" r="0" b="0"/>
                        <wp:docPr id="73591" name="Picture 73591"/>
                        <wp:cNvGraphicFramePr/>
                        <a:graphic xmlns:a="http://schemas.openxmlformats.org/drawingml/2006/main">
                          <a:graphicData uri="http://schemas.openxmlformats.org/drawingml/2006/picture">
                            <pic:pic xmlns:pic="http://schemas.openxmlformats.org/drawingml/2006/picture">
                              <pic:nvPicPr>
                                <pic:cNvPr id="73591" name="Picture 73591"/>
                                <pic:cNvPicPr/>
                              </pic:nvPicPr>
                              <pic:blipFill>
                                <a:blip r:embed="rId22"/>
                                <a:stretch>
                                  <a:fillRect/>
                                </a:stretch>
                              </pic:blipFill>
                              <pic:spPr>
                                <a:xfrm>
                                  <a:off x="0" y="0"/>
                                  <a:ext cx="12931" cy="206850"/>
                                </a:xfrm>
                                <a:prstGeom prst="rect">
                                  <a:avLst/>
                                </a:prstGeom>
                              </pic:spPr>
                            </pic:pic>
                          </a:graphicData>
                        </a:graphic>
                      </wp:inline>
                    </w:drawing>
                  </w:r>
                </w:p>
                <w:p w14:paraId="64DE5E9C" w14:textId="77777777" w:rsidR="00E538F7" w:rsidRDefault="00F341E1">
                  <w:pPr>
                    <w:framePr w:wrap="around" w:vAnchor="page" w:hAnchor="page" w:x="1105"/>
                    <w:spacing w:after="119"/>
                    <w:ind w:right="244"/>
                    <w:suppressOverlap/>
                    <w:jc w:val="center"/>
                  </w:pPr>
                  <w:r>
                    <w:rPr>
                      <w:sz w:val="18"/>
                    </w:rPr>
                    <w:t>Identidade</w:t>
                  </w:r>
                </w:p>
                <w:p w14:paraId="41E081B4" w14:textId="77777777" w:rsidR="00E538F7" w:rsidRDefault="00F341E1">
                  <w:pPr>
                    <w:framePr w:wrap="around" w:vAnchor="page" w:hAnchor="page" w:x="1105"/>
                    <w:spacing w:after="0"/>
                    <w:suppressOverlap/>
                  </w:pPr>
                  <w:r>
                    <w:rPr>
                      <w:sz w:val="18"/>
                    </w:rPr>
                    <w:t>Eixos de subordinação</w:t>
                  </w:r>
                </w:p>
              </w:tc>
            </w:tr>
          </w:tbl>
          <w:p w14:paraId="1AD7484C" w14:textId="77777777" w:rsidR="00E538F7" w:rsidRDefault="00F341E1">
            <w:pPr>
              <w:spacing w:after="555"/>
              <w:ind w:right="318"/>
              <w:jc w:val="center"/>
            </w:pPr>
            <w:r>
              <w:rPr>
                <w:sz w:val="20"/>
              </w:rPr>
              <w:t xml:space="preserve">Fonte: x </w:t>
            </w:r>
            <w:proofErr w:type="spellStart"/>
            <w:r>
              <w:rPr>
                <w:sz w:val="20"/>
              </w:rPr>
              <w:t>próprix</w:t>
            </w:r>
            <w:proofErr w:type="spellEnd"/>
            <w:r>
              <w:rPr>
                <w:sz w:val="20"/>
              </w:rPr>
              <w:t xml:space="preserve"> autor.</w:t>
            </w:r>
          </w:p>
          <w:p w14:paraId="4FFD3FFC" w14:textId="77777777" w:rsidR="00E538F7" w:rsidRDefault="00F341E1">
            <w:pPr>
              <w:spacing w:after="124" w:line="232" w:lineRule="auto"/>
              <w:ind w:left="5" w:right="303" w:firstLine="392"/>
              <w:jc w:val="both"/>
            </w:pPr>
            <w:r>
              <w:rPr>
                <w:sz w:val="24"/>
              </w:rPr>
              <w:t xml:space="preserve">Na figura acima, noto que a matriz colonial moderna está no centro dando sustentação aos eixos de subordinação. Isso porque ela é quem produz as avenidas identitárias, onde os indivíduos oprimidos são jogados e são atingidos frequentemente pelo cruzamento </w:t>
            </w:r>
            <w:r>
              <w:rPr>
                <w:sz w:val="24"/>
              </w:rPr>
              <w:t>dessas avenidas. Dessa maneira, é possível usar um dos eixos para identificar um problema, sempre pensando no indivíduo, como um ser não fragmentado,</w:t>
            </w:r>
          </w:p>
          <w:p w14:paraId="418C7F1D" w14:textId="77777777" w:rsidR="00E538F7" w:rsidRDefault="00F341E1">
            <w:pPr>
              <w:spacing w:after="398" w:line="218" w:lineRule="auto"/>
              <w:ind w:left="25" w:right="288" w:firstLine="387"/>
              <w:jc w:val="both"/>
            </w:pPr>
            <w:r>
              <w:rPr>
                <w:sz w:val="24"/>
              </w:rPr>
              <w:t xml:space="preserve">Falo isso, porque há quem acredite que os eixos funcionam de forma individualizada, se fosse assim, em um </w:t>
            </w:r>
            <w:r>
              <w:rPr>
                <w:sz w:val="24"/>
              </w:rPr>
              <w:t xml:space="preserve">determinado momento, eu seria negro, em outro, periférico, entre outros marcadores, </w:t>
            </w:r>
            <w:proofErr w:type="gramStart"/>
            <w:r>
              <w:rPr>
                <w:sz w:val="24"/>
              </w:rPr>
              <w:t>Além</w:t>
            </w:r>
            <w:proofErr w:type="gramEnd"/>
            <w:r>
              <w:rPr>
                <w:sz w:val="24"/>
              </w:rPr>
              <w:t xml:space="preserve"> disso, segundo </w:t>
            </w:r>
            <w:proofErr w:type="spellStart"/>
            <w:r>
              <w:rPr>
                <w:sz w:val="24"/>
              </w:rPr>
              <w:t>Nzinga</w:t>
            </w:r>
            <w:proofErr w:type="spellEnd"/>
            <w:r>
              <w:rPr>
                <w:sz w:val="24"/>
              </w:rPr>
              <w:t xml:space="preserve"> Mbandi, a</w:t>
            </w:r>
          </w:p>
          <w:p w14:paraId="45F549D6" w14:textId="77777777" w:rsidR="00E538F7" w:rsidRDefault="00F341E1">
            <w:pPr>
              <w:spacing w:after="516"/>
              <w:ind w:left="255"/>
            </w:pPr>
            <w:r>
              <w:rPr>
                <w:sz w:val="18"/>
              </w:rPr>
              <w:t>Figura baseada em Sampaio (2017).</w:t>
            </w:r>
          </w:p>
          <w:p w14:paraId="6E1E6976" w14:textId="77777777" w:rsidR="00E538F7" w:rsidRDefault="00F341E1">
            <w:pPr>
              <w:spacing w:after="0"/>
              <w:ind w:right="252"/>
              <w:jc w:val="center"/>
            </w:pPr>
            <w:r>
              <w:rPr>
                <w:sz w:val="20"/>
              </w:rPr>
              <w:t>117</w:t>
            </w:r>
          </w:p>
        </w:tc>
      </w:tr>
    </w:tbl>
    <w:p w14:paraId="40E2A753" w14:textId="77777777" w:rsidR="00E538F7" w:rsidRDefault="00F341E1">
      <w:pPr>
        <w:spacing w:after="0"/>
        <w:ind w:left="-1440" w:right="15380"/>
      </w:pPr>
      <w:r>
        <w:lastRenderedPageBreak/>
        <w:br w:type="page"/>
      </w:r>
    </w:p>
    <w:tbl>
      <w:tblPr>
        <w:tblStyle w:val="TableGrid"/>
        <w:tblpPr w:vertAnchor="page" w:horzAnchor="page" w:tblpX="631"/>
        <w:tblOverlap w:val="never"/>
        <w:tblW w:w="15003" w:type="dxa"/>
        <w:tblInd w:w="0" w:type="dxa"/>
        <w:tblCellMar>
          <w:top w:w="0" w:type="dxa"/>
          <w:left w:w="755" w:type="dxa"/>
          <w:bottom w:w="0" w:type="dxa"/>
          <w:right w:w="112" w:type="dxa"/>
        </w:tblCellMar>
        <w:tblLook w:val="04A0" w:firstRow="1" w:lastRow="0" w:firstColumn="1" w:lastColumn="0" w:noHBand="0" w:noVBand="1"/>
      </w:tblPr>
      <w:tblGrid>
        <w:gridCol w:w="7492"/>
        <w:gridCol w:w="7511"/>
      </w:tblGrid>
      <w:tr w:rsidR="00E538F7" w14:paraId="6E8A2174" w14:textId="77777777">
        <w:trPr>
          <w:trHeight w:val="11330"/>
        </w:trPr>
        <w:tc>
          <w:tcPr>
            <w:tcW w:w="7492" w:type="dxa"/>
            <w:tcBorders>
              <w:top w:val="nil"/>
              <w:left w:val="nil"/>
              <w:bottom w:val="single" w:sz="2" w:space="0" w:color="000000"/>
              <w:right w:val="single" w:sz="2" w:space="0" w:color="000000"/>
            </w:tcBorders>
            <w:vAlign w:val="center"/>
          </w:tcPr>
          <w:p w14:paraId="5239F31E" w14:textId="77777777" w:rsidR="00E538F7" w:rsidRDefault="00F341E1">
            <w:pPr>
              <w:spacing w:after="195" w:line="281" w:lineRule="auto"/>
              <w:ind w:left="263" w:right="696" w:firstLine="15"/>
              <w:jc w:val="both"/>
            </w:pPr>
            <w:r>
              <w:rPr>
                <w:sz w:val="24"/>
              </w:rPr>
              <w:lastRenderedPageBreak/>
              <w:t xml:space="preserve">interseccionalidade não é uma ferramenta para analisar quem sofre mais na sociedade. Sendo assim, não existe hierarquia de opressão. Afinal, o papel da abordagem interseccional é </w:t>
            </w:r>
            <w:r>
              <w:rPr>
                <w:sz w:val="24"/>
              </w:rPr>
              <w:t>abranger as lutas sociais.</w:t>
            </w:r>
          </w:p>
          <w:p w14:paraId="1430A92E" w14:textId="77777777" w:rsidR="00E538F7" w:rsidRDefault="00F341E1">
            <w:pPr>
              <w:spacing w:after="456" w:line="261" w:lineRule="auto"/>
              <w:ind w:left="217" w:right="711" w:firstLine="433"/>
              <w:jc w:val="both"/>
            </w:pPr>
            <w:r>
              <w:rPr>
                <w:sz w:val="24"/>
              </w:rPr>
              <w:t xml:space="preserve">O pensamento interseccional, conforme afirma Mbandi (2019), aponta para várias possibilidades de análise, levando em consideração os entrelaçamentos dos marcadores sociais, </w:t>
            </w:r>
            <w:proofErr w:type="gramStart"/>
            <w:r>
              <w:rPr>
                <w:sz w:val="24"/>
              </w:rPr>
              <w:t>Podendo</w:t>
            </w:r>
            <w:proofErr w:type="gramEnd"/>
            <w:r>
              <w:rPr>
                <w:sz w:val="24"/>
              </w:rPr>
              <w:t xml:space="preserve"> assim, viabilizar à construção de algumas vertentes, tidas como abordagens </w:t>
            </w:r>
            <w:r>
              <w:rPr>
                <w:sz w:val="24"/>
              </w:rPr>
              <w:t xml:space="preserve">sistêmicas, construtivistas, entre outras. Nesse momento, apresento apenas duas vertentes das várias possíveis para a Interseccionalidade, baseados em Henning (2015), que traz observações propostas pelas pesquisadoras norte-americanas: </w:t>
            </w:r>
            <w:proofErr w:type="spellStart"/>
            <w:r>
              <w:rPr>
                <w:sz w:val="24"/>
              </w:rPr>
              <w:t>Kimberlé</w:t>
            </w:r>
            <w:proofErr w:type="spellEnd"/>
            <w:r>
              <w:rPr>
                <w:sz w:val="24"/>
              </w:rPr>
              <w:t xml:space="preserve"> </w:t>
            </w:r>
            <w:proofErr w:type="spellStart"/>
            <w:r>
              <w:rPr>
                <w:sz w:val="24"/>
              </w:rPr>
              <w:t>Crenshaw</w:t>
            </w:r>
            <w:proofErr w:type="spellEnd"/>
            <w:r>
              <w:rPr>
                <w:sz w:val="24"/>
              </w:rPr>
              <w:t xml:space="preserve"> e </w:t>
            </w:r>
            <w:proofErr w:type="spellStart"/>
            <w:r>
              <w:rPr>
                <w:sz w:val="24"/>
              </w:rPr>
              <w:t>Patricia</w:t>
            </w:r>
            <w:proofErr w:type="spellEnd"/>
            <w:r>
              <w:rPr>
                <w:sz w:val="24"/>
              </w:rPr>
              <w:t xml:space="preserve"> Hill Collins, ao tratarem da abordagem sistêmica ou estrutural e pelas estudiosas britânicas Anne </w:t>
            </w:r>
            <w:proofErr w:type="spellStart"/>
            <w:r>
              <w:rPr>
                <w:sz w:val="24"/>
              </w:rPr>
              <w:t>McKlinctok</w:t>
            </w:r>
            <w:proofErr w:type="spellEnd"/>
            <w:r>
              <w:rPr>
                <w:sz w:val="24"/>
              </w:rPr>
              <w:t xml:space="preserve"> e </w:t>
            </w:r>
            <w:proofErr w:type="spellStart"/>
            <w:r>
              <w:rPr>
                <w:sz w:val="24"/>
              </w:rPr>
              <w:t>Avtar</w:t>
            </w:r>
            <w:proofErr w:type="spellEnd"/>
            <w:r>
              <w:rPr>
                <w:sz w:val="24"/>
              </w:rPr>
              <w:t xml:space="preserve"> </w:t>
            </w:r>
            <w:proofErr w:type="spellStart"/>
            <w:r>
              <w:rPr>
                <w:sz w:val="24"/>
              </w:rPr>
              <w:t>Brah</w:t>
            </w:r>
            <w:proofErr w:type="spellEnd"/>
            <w:r>
              <w:rPr>
                <w:sz w:val="24"/>
              </w:rPr>
              <w:t>, ao partilharem do pensamento de poder através da abordagem construtivista.</w:t>
            </w:r>
          </w:p>
          <w:p w14:paraId="29D7170A" w14:textId="77777777" w:rsidR="00E538F7" w:rsidRDefault="00F341E1">
            <w:pPr>
              <w:spacing w:after="0"/>
              <w:ind w:right="535"/>
              <w:jc w:val="center"/>
            </w:pPr>
            <w:r>
              <w:t>Figura 3 - Abordagens possíveis para a intersecci</w:t>
            </w:r>
            <w:r>
              <w:t>onalidade</w:t>
            </w:r>
          </w:p>
          <w:tbl>
            <w:tblPr>
              <w:tblStyle w:val="TableGrid"/>
              <w:tblW w:w="5710" w:type="dxa"/>
              <w:tblInd w:w="148" w:type="dxa"/>
              <w:tblCellMar>
                <w:top w:w="41" w:type="dxa"/>
                <w:left w:w="0" w:type="dxa"/>
                <w:bottom w:w="523" w:type="dxa"/>
                <w:right w:w="188" w:type="dxa"/>
              </w:tblCellMar>
              <w:tblLook w:val="04A0" w:firstRow="1" w:lastRow="0" w:firstColumn="1" w:lastColumn="0" w:noHBand="0" w:noVBand="1"/>
            </w:tblPr>
            <w:tblGrid>
              <w:gridCol w:w="1301"/>
              <w:gridCol w:w="3472"/>
              <w:gridCol w:w="937"/>
            </w:tblGrid>
            <w:tr w:rsidR="00E538F7" w14:paraId="17797E04" w14:textId="77777777">
              <w:trPr>
                <w:trHeight w:val="2382"/>
              </w:trPr>
              <w:tc>
                <w:tcPr>
                  <w:tcW w:w="1301" w:type="dxa"/>
                  <w:tcBorders>
                    <w:top w:val="single" w:sz="2" w:space="0" w:color="000000"/>
                    <w:left w:val="single" w:sz="2" w:space="0" w:color="000000"/>
                    <w:bottom w:val="single" w:sz="2" w:space="0" w:color="000000"/>
                    <w:right w:val="nil"/>
                  </w:tcBorders>
                  <w:vAlign w:val="bottom"/>
                </w:tcPr>
                <w:p w14:paraId="3B9B9F7E" w14:textId="77777777" w:rsidR="00E538F7" w:rsidRDefault="00F341E1">
                  <w:pPr>
                    <w:framePr w:wrap="around" w:vAnchor="page" w:hAnchor="page" w:x="631"/>
                    <w:spacing w:after="0" w:line="225" w:lineRule="auto"/>
                    <w:ind w:left="319" w:firstLine="392"/>
                    <w:suppressOverlap/>
                    <w:jc w:val="both"/>
                  </w:pPr>
                  <w:r>
                    <w:rPr>
                      <w:sz w:val="10"/>
                    </w:rPr>
                    <w:t xml:space="preserve">ç:om o </w:t>
                  </w:r>
                  <w:proofErr w:type="spellStart"/>
                  <w:r>
                    <w:rPr>
                      <w:sz w:val="10"/>
                    </w:rPr>
                    <w:t>pensameoto</w:t>
                  </w:r>
                  <w:proofErr w:type="spellEnd"/>
                  <w:r>
                    <w:rPr>
                      <w:sz w:val="10"/>
                    </w:rPr>
                    <w:t xml:space="preserve"> de</w:t>
                  </w:r>
                </w:p>
                <w:p w14:paraId="5C427BD7" w14:textId="77777777" w:rsidR="00E538F7" w:rsidRDefault="00F341E1">
                  <w:pPr>
                    <w:framePr w:wrap="around" w:vAnchor="page" w:hAnchor="page" w:x="631"/>
                    <w:spacing w:after="0"/>
                    <w:ind w:left="222"/>
                    <w:suppressOverlap/>
                  </w:pPr>
                  <w:proofErr w:type="spellStart"/>
                  <w:r>
                    <w:rPr>
                      <w:sz w:val="10"/>
                    </w:rPr>
                    <w:t>Crenshnw</w:t>
                  </w:r>
                  <w:proofErr w:type="spellEnd"/>
                  <w:r>
                    <w:rPr>
                      <w:sz w:val="10"/>
                    </w:rPr>
                    <w:t xml:space="preserve"> e Collins</w:t>
                  </w:r>
                </w:p>
              </w:tc>
              <w:tc>
                <w:tcPr>
                  <w:tcW w:w="3472" w:type="dxa"/>
                  <w:tcBorders>
                    <w:top w:val="single" w:sz="2" w:space="0" w:color="000000"/>
                    <w:left w:val="nil"/>
                    <w:bottom w:val="single" w:sz="2" w:space="0" w:color="000000"/>
                    <w:right w:val="nil"/>
                  </w:tcBorders>
                </w:tcPr>
                <w:p w14:paraId="7D95C37D" w14:textId="77777777" w:rsidR="00E538F7" w:rsidRDefault="00F341E1">
                  <w:pPr>
                    <w:framePr w:wrap="around" w:vAnchor="page" w:hAnchor="page" w:x="631"/>
                    <w:spacing w:after="0"/>
                    <w:ind w:left="484"/>
                    <w:suppressOverlap/>
                  </w:pPr>
                  <w:r>
                    <w:rPr>
                      <w:sz w:val="12"/>
                      <w:u w:val="single" w:color="000000"/>
                    </w:rPr>
                    <w:t xml:space="preserve">Vertentes </w:t>
                  </w:r>
                  <w:proofErr w:type="spellStart"/>
                  <w:r>
                    <w:rPr>
                      <w:sz w:val="12"/>
                      <w:u w:val="single" w:color="000000"/>
                    </w:rPr>
                    <w:t>possiveis</w:t>
                  </w:r>
                  <w:proofErr w:type="spellEnd"/>
                  <w:r>
                    <w:rPr>
                      <w:sz w:val="12"/>
                      <w:u w:val="single" w:color="000000"/>
                    </w:rPr>
                    <w:t xml:space="preserve"> para </w:t>
                  </w:r>
                  <w:proofErr w:type="spellStart"/>
                  <w:r>
                    <w:rPr>
                      <w:sz w:val="12"/>
                      <w:u w:val="single" w:color="000000"/>
                    </w:rPr>
                    <w:t>interse</w:t>
                  </w:r>
                  <w:r>
                    <w:rPr>
                      <w:sz w:val="12"/>
                    </w:rPr>
                    <w:t>c</w:t>
                  </w:r>
                  <w:r>
                    <w:rPr>
                      <w:sz w:val="12"/>
                      <w:u w:val="single" w:color="000000"/>
                    </w:rPr>
                    <w:t>cionalidadg</w:t>
                  </w:r>
                  <w:proofErr w:type="spellEnd"/>
                </w:p>
                <w:tbl>
                  <w:tblPr>
                    <w:tblStyle w:val="TableGrid"/>
                    <w:tblW w:w="2291" w:type="dxa"/>
                    <w:tblInd w:w="419" w:type="dxa"/>
                    <w:tblCellMar>
                      <w:top w:w="35" w:type="dxa"/>
                      <w:left w:w="95" w:type="dxa"/>
                      <w:bottom w:w="36" w:type="dxa"/>
                      <w:right w:w="94" w:type="dxa"/>
                    </w:tblCellMar>
                    <w:tblLook w:val="04A0" w:firstRow="1" w:lastRow="0" w:firstColumn="1" w:lastColumn="0" w:noHBand="0" w:noVBand="1"/>
                  </w:tblPr>
                  <w:tblGrid>
                    <w:gridCol w:w="1141"/>
                    <w:gridCol w:w="1150"/>
                  </w:tblGrid>
                  <w:tr w:rsidR="00E538F7" w14:paraId="186FB74C" w14:textId="77777777">
                    <w:trPr>
                      <w:trHeight w:val="303"/>
                    </w:trPr>
                    <w:tc>
                      <w:tcPr>
                        <w:tcW w:w="1141" w:type="dxa"/>
                        <w:tcBorders>
                          <w:top w:val="single" w:sz="2" w:space="0" w:color="000000"/>
                          <w:left w:val="single" w:sz="2" w:space="0" w:color="000000"/>
                          <w:bottom w:val="single" w:sz="2" w:space="0" w:color="000000"/>
                          <w:right w:val="single" w:sz="2" w:space="0" w:color="000000"/>
                        </w:tcBorders>
                      </w:tcPr>
                      <w:p w14:paraId="75799130" w14:textId="77777777" w:rsidR="00E538F7" w:rsidRDefault="00F341E1">
                        <w:pPr>
                          <w:framePr w:wrap="around" w:vAnchor="page" w:hAnchor="page" w:x="631"/>
                          <w:spacing w:after="0"/>
                          <w:suppressOverlap/>
                        </w:pPr>
                        <w:r>
                          <w:rPr>
                            <w:sz w:val="10"/>
                          </w:rPr>
                          <w:t>Abordagem sistémica</w:t>
                        </w:r>
                      </w:p>
                    </w:tc>
                    <w:tc>
                      <w:tcPr>
                        <w:tcW w:w="1150" w:type="dxa"/>
                        <w:tcBorders>
                          <w:top w:val="single" w:sz="2" w:space="0" w:color="000000"/>
                          <w:left w:val="single" w:sz="2" w:space="0" w:color="000000"/>
                          <w:bottom w:val="single" w:sz="2" w:space="0" w:color="000000"/>
                          <w:right w:val="single" w:sz="2" w:space="0" w:color="000000"/>
                        </w:tcBorders>
                        <w:vAlign w:val="bottom"/>
                      </w:tcPr>
                      <w:p w14:paraId="53C3C52A" w14:textId="77777777" w:rsidR="00E538F7" w:rsidRDefault="00F341E1">
                        <w:pPr>
                          <w:framePr w:wrap="around" w:vAnchor="page" w:hAnchor="page" w:x="631"/>
                          <w:spacing w:after="0"/>
                          <w:ind w:right="5"/>
                          <w:suppressOverlap/>
                          <w:jc w:val="center"/>
                        </w:pPr>
                        <w:r>
                          <w:rPr>
                            <w:sz w:val="12"/>
                          </w:rPr>
                          <w:t>construtivista</w:t>
                        </w:r>
                      </w:p>
                    </w:tc>
                  </w:tr>
                </w:tbl>
                <w:p w14:paraId="10D7ACB0" w14:textId="77777777" w:rsidR="00E538F7" w:rsidRDefault="00F341E1">
                  <w:pPr>
                    <w:framePr w:wrap="around" w:vAnchor="page" w:hAnchor="page" w:x="631"/>
                    <w:spacing w:after="0"/>
                    <w:ind w:left="392" w:right="387" w:hanging="15"/>
                    <w:suppressOverlap/>
                    <w:jc w:val="both"/>
                  </w:pPr>
                  <w:r>
                    <w:rPr>
                      <w:sz w:val="12"/>
                    </w:rPr>
                    <w:t xml:space="preserve">As estruturas sociais A concepção de que as como produtoras de </w:t>
                  </w:r>
                  <w:proofErr w:type="spellStart"/>
                  <w:r>
                    <w:rPr>
                      <w:sz w:val="12"/>
                    </w:rPr>
                    <w:t>relaçôes</w:t>
                  </w:r>
                  <w:proofErr w:type="spellEnd"/>
                  <w:r>
                    <w:rPr>
                      <w:sz w:val="12"/>
                    </w:rPr>
                    <w:t xml:space="preserve"> de poder São mais </w:t>
                  </w:r>
                  <w:proofErr w:type="spellStart"/>
                  <w:r>
                    <w:rPr>
                      <w:sz w:val="12"/>
                    </w:rPr>
                    <w:t>diferençw</w:t>
                  </w:r>
                  <w:proofErr w:type="spellEnd"/>
                  <w:r>
                    <w:rPr>
                      <w:sz w:val="12"/>
                    </w:rPr>
                    <w:t xml:space="preserve"> dinâmicas e relacionais,</w:t>
                  </w:r>
                </w:p>
              </w:tc>
              <w:tc>
                <w:tcPr>
                  <w:tcW w:w="937" w:type="dxa"/>
                  <w:tcBorders>
                    <w:top w:val="single" w:sz="2" w:space="0" w:color="000000"/>
                    <w:left w:val="nil"/>
                    <w:bottom w:val="single" w:sz="2" w:space="0" w:color="000000"/>
                    <w:right w:val="single" w:sz="2" w:space="0" w:color="000000"/>
                  </w:tcBorders>
                  <w:vAlign w:val="bottom"/>
                </w:tcPr>
                <w:p w14:paraId="3D0899C1" w14:textId="77777777" w:rsidR="00E538F7" w:rsidRDefault="00F341E1">
                  <w:pPr>
                    <w:framePr w:wrap="around" w:vAnchor="page" w:hAnchor="page" w:x="631"/>
                    <w:spacing w:after="2" w:line="240" w:lineRule="auto"/>
                    <w:ind w:left="46" w:hanging="46"/>
                    <w:suppressOverlap/>
                  </w:pPr>
                  <w:r>
                    <w:rPr>
                      <w:sz w:val="10"/>
                    </w:rPr>
                    <w:t>Corrobora o pensamento de</w:t>
                  </w:r>
                </w:p>
                <w:p w14:paraId="0DFF5556" w14:textId="77777777" w:rsidR="00E538F7" w:rsidRDefault="00F341E1">
                  <w:pPr>
                    <w:framePr w:wrap="around" w:vAnchor="page" w:hAnchor="page" w:x="631"/>
                    <w:spacing w:after="0"/>
                    <w:ind w:left="489"/>
                    <w:suppressOverlap/>
                    <w:jc w:val="center"/>
                  </w:pPr>
                  <w:r>
                    <w:rPr>
                      <w:sz w:val="10"/>
                    </w:rPr>
                    <w:t xml:space="preserve">e </w:t>
                  </w:r>
                  <w:proofErr w:type="spellStart"/>
                  <w:r>
                    <w:rPr>
                      <w:sz w:val="10"/>
                    </w:rPr>
                    <w:t>Eirúll</w:t>
                  </w:r>
                  <w:proofErr w:type="spellEnd"/>
                </w:p>
              </w:tc>
            </w:tr>
          </w:tbl>
          <w:p w14:paraId="2AE414A7" w14:textId="77777777" w:rsidR="00E538F7" w:rsidRDefault="00F341E1">
            <w:pPr>
              <w:spacing w:after="868"/>
              <w:ind w:right="596"/>
              <w:jc w:val="center"/>
            </w:pPr>
            <w:r>
              <w:rPr>
                <w:sz w:val="20"/>
              </w:rPr>
              <w:t xml:space="preserve">Fonte: x </w:t>
            </w:r>
            <w:proofErr w:type="spellStart"/>
            <w:r>
              <w:rPr>
                <w:sz w:val="20"/>
              </w:rPr>
              <w:t>próprix</w:t>
            </w:r>
            <w:proofErr w:type="spellEnd"/>
            <w:r>
              <w:rPr>
                <w:sz w:val="20"/>
              </w:rPr>
              <w:t xml:space="preserve"> autor.</w:t>
            </w:r>
          </w:p>
          <w:p w14:paraId="0AF92329" w14:textId="77777777" w:rsidR="00E538F7" w:rsidRDefault="00F341E1">
            <w:pPr>
              <w:spacing w:after="0"/>
              <w:ind w:right="626"/>
              <w:jc w:val="center"/>
            </w:pPr>
            <w:r>
              <w:rPr>
                <w:sz w:val="20"/>
              </w:rPr>
              <w:t>118</w:t>
            </w:r>
          </w:p>
        </w:tc>
        <w:tc>
          <w:tcPr>
            <w:tcW w:w="7511" w:type="dxa"/>
            <w:tcBorders>
              <w:top w:val="nil"/>
              <w:left w:val="single" w:sz="2" w:space="0" w:color="000000"/>
              <w:bottom w:val="single" w:sz="2" w:space="0" w:color="000000"/>
              <w:right w:val="nil"/>
            </w:tcBorders>
            <w:vAlign w:val="center"/>
          </w:tcPr>
          <w:p w14:paraId="12C6A33B" w14:textId="77777777" w:rsidR="00E538F7" w:rsidRDefault="00F341E1">
            <w:pPr>
              <w:spacing w:after="109" w:line="223" w:lineRule="auto"/>
              <w:ind w:right="977" w:firstLine="397"/>
              <w:jc w:val="both"/>
            </w:pPr>
            <w:r>
              <w:rPr>
                <w:sz w:val="24"/>
              </w:rPr>
              <w:t xml:space="preserve">Como bem diz Mbandi (2019, p, 24) "as abordagens fundamentadas em metodologias interseccionais não são homogêneas", isto é, a interseccionalidade é heterogênea no que tange às várias possibilidades de </w:t>
            </w:r>
            <w:proofErr w:type="spellStart"/>
            <w:r>
              <w:rPr>
                <w:sz w:val="24"/>
              </w:rPr>
              <w:t>interseçóes</w:t>
            </w:r>
            <w:proofErr w:type="spellEnd"/>
            <w:r>
              <w:rPr>
                <w:sz w:val="24"/>
              </w:rPr>
              <w:t xml:space="preserve">, tanto dos eixos de subordinação quanto de </w:t>
            </w:r>
            <w:r>
              <w:rPr>
                <w:sz w:val="24"/>
              </w:rPr>
              <w:t>suas abordagens,</w:t>
            </w:r>
          </w:p>
          <w:p w14:paraId="6970BEE9" w14:textId="77777777" w:rsidR="00E538F7" w:rsidRDefault="00F341E1">
            <w:pPr>
              <w:tabs>
                <w:tab w:val="center" w:pos="1331"/>
                <w:tab w:val="center" w:pos="6641"/>
              </w:tabs>
              <w:spacing w:after="171"/>
            </w:pPr>
            <w:r>
              <w:rPr>
                <w:sz w:val="26"/>
              </w:rPr>
              <w:tab/>
              <w:t>PALAVRAS FINAIS</w:t>
            </w:r>
            <w:r>
              <w:rPr>
                <w:sz w:val="26"/>
              </w:rPr>
              <w:tab/>
            </w:r>
            <w:r>
              <w:rPr>
                <w:noProof/>
              </w:rPr>
              <w:drawing>
                <wp:inline distT="0" distB="0" distL="0" distR="0" wp14:anchorId="2D5AA2C3" wp14:editId="0922D382">
                  <wp:extent cx="3232" cy="329668"/>
                  <wp:effectExtent l="0" t="0" r="0" b="0"/>
                  <wp:docPr id="73595" name="Picture 73595"/>
                  <wp:cNvGraphicFramePr/>
                  <a:graphic xmlns:a="http://schemas.openxmlformats.org/drawingml/2006/main">
                    <a:graphicData uri="http://schemas.openxmlformats.org/drawingml/2006/picture">
                      <pic:pic xmlns:pic="http://schemas.openxmlformats.org/drawingml/2006/picture">
                        <pic:nvPicPr>
                          <pic:cNvPr id="73595" name="Picture 73595"/>
                          <pic:cNvPicPr/>
                        </pic:nvPicPr>
                        <pic:blipFill>
                          <a:blip r:embed="rId23"/>
                          <a:stretch>
                            <a:fillRect/>
                          </a:stretch>
                        </pic:blipFill>
                        <pic:spPr>
                          <a:xfrm>
                            <a:off x="0" y="0"/>
                            <a:ext cx="3232" cy="329668"/>
                          </a:xfrm>
                          <a:prstGeom prst="rect">
                            <a:avLst/>
                          </a:prstGeom>
                        </pic:spPr>
                      </pic:pic>
                    </a:graphicData>
                  </a:graphic>
                </wp:inline>
              </w:drawing>
            </w:r>
          </w:p>
          <w:p w14:paraId="2558DE7E" w14:textId="77777777" w:rsidR="00E538F7" w:rsidRDefault="00F341E1">
            <w:pPr>
              <w:spacing w:after="99" w:line="216" w:lineRule="auto"/>
              <w:ind w:left="15" w:right="952" w:firstLine="397"/>
              <w:jc w:val="both"/>
            </w:pPr>
            <w:r>
              <w:rPr>
                <w:sz w:val="24"/>
              </w:rPr>
              <w:t xml:space="preserve">O desenvolvimento desse capítulo possibilitou uma compreensão panorâmica do conceito de interseccionalidade e suas aplicabilidades como </w:t>
            </w:r>
            <w:proofErr w:type="spellStart"/>
            <w:r>
              <w:rPr>
                <w:sz w:val="24"/>
              </w:rPr>
              <w:t>instrumeto</w:t>
            </w:r>
            <w:proofErr w:type="spellEnd"/>
            <w:r>
              <w:rPr>
                <w:sz w:val="24"/>
              </w:rPr>
              <w:t xml:space="preserve"> teórico-metodológico. Além disso, também permitiu a retomada histórica acerca das </w:t>
            </w:r>
            <w:proofErr w:type="spellStart"/>
            <w:r>
              <w:rPr>
                <w:sz w:val="24"/>
              </w:rPr>
              <w:t>constribuições</w:t>
            </w:r>
            <w:proofErr w:type="spellEnd"/>
            <w:r>
              <w:rPr>
                <w:sz w:val="24"/>
              </w:rPr>
              <w:t xml:space="preserve"> do feminismo</w:t>
            </w:r>
            <w:r>
              <w:rPr>
                <w:sz w:val="24"/>
              </w:rPr>
              <w:t xml:space="preserve"> negro para a abordagem interseccional e seus desdobramentos.</w:t>
            </w:r>
          </w:p>
          <w:p w14:paraId="5D5C4630" w14:textId="77777777" w:rsidR="00E538F7" w:rsidRDefault="00F341E1">
            <w:pPr>
              <w:spacing w:after="134" w:line="226" w:lineRule="auto"/>
              <w:ind w:left="20" w:right="947" w:firstLine="407"/>
              <w:jc w:val="both"/>
            </w:pPr>
            <w:r>
              <w:rPr>
                <w:sz w:val="24"/>
              </w:rPr>
              <w:t>Em suma, nos caminhos da interseccionalidade, os indivíduos nunca partem do mesmo lugar, eles se cruzam em determinado momento, mas constroem uma trajetória diferente. Hirata (2014, p. 69) elege</w:t>
            </w:r>
            <w:r>
              <w:rPr>
                <w:sz w:val="24"/>
              </w:rPr>
              <w:t xml:space="preserve"> a interseccionalidade "como uma das formas de combater as opressões múltiplas e imbricadas, e, portanto, como um instrumento de luta política", e para além disso, é uma forma de unificação as lutas das minorias contra as opressões do sistema </w:t>
            </w:r>
            <w:proofErr w:type="spellStart"/>
            <w:r>
              <w:rPr>
                <w:sz w:val="24"/>
              </w:rPr>
              <w:t>cis-heteropat</w:t>
            </w:r>
            <w:r>
              <w:rPr>
                <w:sz w:val="24"/>
              </w:rPr>
              <w:t>riarcal</w:t>
            </w:r>
            <w:proofErr w:type="spellEnd"/>
            <w:r>
              <w:rPr>
                <w:sz w:val="24"/>
              </w:rPr>
              <w:t xml:space="preserve"> da sociedade atual.</w:t>
            </w:r>
          </w:p>
          <w:p w14:paraId="37FD850B" w14:textId="77777777" w:rsidR="00E538F7" w:rsidRDefault="00F341E1">
            <w:pPr>
              <w:spacing w:after="880" w:line="227" w:lineRule="auto"/>
              <w:ind w:left="36" w:right="932" w:firstLine="402"/>
              <w:jc w:val="both"/>
            </w:pPr>
            <w:r>
              <w:rPr>
                <w:sz w:val="24"/>
              </w:rPr>
              <w:t>E, por fim, pensar a abordagem interseccional como sendo uma noção de identidade multiplicativa, que permite o indivíduo caminhar pelas avenidas identitárias, do gênero, da raça, da sexualidade, entre outras, sendo possível assi</w:t>
            </w:r>
            <w:r>
              <w:rPr>
                <w:sz w:val="24"/>
              </w:rPr>
              <w:t>m fazer uma análise conceitual de identidades (NOGUEIRA, 2017), por exemplo, mulher x negra x lésbica.</w:t>
            </w:r>
          </w:p>
          <w:p w14:paraId="13E5B62A" w14:textId="77777777" w:rsidR="00E538F7" w:rsidRDefault="00F341E1">
            <w:pPr>
              <w:spacing w:after="0"/>
              <w:ind w:right="871"/>
              <w:jc w:val="center"/>
            </w:pPr>
            <w:r>
              <w:rPr>
                <w:sz w:val="20"/>
              </w:rPr>
              <w:t>119</w:t>
            </w:r>
          </w:p>
        </w:tc>
      </w:tr>
    </w:tbl>
    <w:p w14:paraId="443241D2" w14:textId="77777777" w:rsidR="00E538F7" w:rsidRDefault="00F341E1">
      <w:pPr>
        <w:spacing w:after="0"/>
        <w:ind w:left="-1440" w:right="15380"/>
      </w:pPr>
      <w:r>
        <w:lastRenderedPageBreak/>
        <w:br w:type="page"/>
      </w:r>
    </w:p>
    <w:tbl>
      <w:tblPr>
        <w:tblStyle w:val="TableGrid"/>
        <w:tblpPr w:vertAnchor="page" w:horzAnchor="page"/>
        <w:tblOverlap w:val="never"/>
        <w:tblW w:w="14794" w:type="dxa"/>
        <w:tblInd w:w="0" w:type="dxa"/>
        <w:tblCellMar>
          <w:top w:w="265" w:type="dxa"/>
          <w:left w:w="748" w:type="dxa"/>
          <w:bottom w:w="0" w:type="dxa"/>
          <w:right w:w="107" w:type="dxa"/>
        </w:tblCellMar>
        <w:tblLook w:val="04A0" w:firstRow="1" w:lastRow="0" w:firstColumn="1" w:lastColumn="0" w:noHBand="0" w:noVBand="1"/>
      </w:tblPr>
      <w:tblGrid>
        <w:gridCol w:w="7300"/>
        <w:gridCol w:w="7494"/>
      </w:tblGrid>
      <w:tr w:rsidR="00E538F7" w14:paraId="7FCE4327" w14:textId="77777777">
        <w:trPr>
          <w:trHeight w:val="11342"/>
        </w:trPr>
        <w:tc>
          <w:tcPr>
            <w:tcW w:w="7300" w:type="dxa"/>
            <w:tcBorders>
              <w:top w:val="nil"/>
              <w:left w:val="nil"/>
              <w:bottom w:val="single" w:sz="2" w:space="0" w:color="000000"/>
              <w:right w:val="single" w:sz="2" w:space="0" w:color="000000"/>
            </w:tcBorders>
          </w:tcPr>
          <w:p w14:paraId="5713F7AB" w14:textId="77777777" w:rsidR="00E538F7" w:rsidRDefault="00F341E1">
            <w:pPr>
              <w:spacing w:after="0"/>
              <w:ind w:left="56"/>
            </w:pPr>
            <w:r>
              <w:rPr>
                <w:noProof/>
              </w:rPr>
              <w:lastRenderedPageBreak/>
              <w:drawing>
                <wp:inline distT="0" distB="0" distL="0" distR="0" wp14:anchorId="1818CC57" wp14:editId="0A63DC3B">
                  <wp:extent cx="3601180" cy="35552"/>
                  <wp:effectExtent l="0" t="0" r="0" b="0"/>
                  <wp:docPr id="46466" name="Picture 46466"/>
                  <wp:cNvGraphicFramePr/>
                  <a:graphic xmlns:a="http://schemas.openxmlformats.org/drawingml/2006/main">
                    <a:graphicData uri="http://schemas.openxmlformats.org/drawingml/2006/picture">
                      <pic:pic xmlns:pic="http://schemas.openxmlformats.org/drawingml/2006/picture">
                        <pic:nvPicPr>
                          <pic:cNvPr id="46466" name="Picture 46466"/>
                          <pic:cNvPicPr/>
                        </pic:nvPicPr>
                        <pic:blipFill>
                          <a:blip r:embed="rId24"/>
                          <a:stretch>
                            <a:fillRect/>
                          </a:stretch>
                        </pic:blipFill>
                        <pic:spPr>
                          <a:xfrm>
                            <a:off x="0" y="0"/>
                            <a:ext cx="3601180" cy="35552"/>
                          </a:xfrm>
                          <a:prstGeom prst="rect">
                            <a:avLst/>
                          </a:prstGeom>
                        </pic:spPr>
                      </pic:pic>
                    </a:graphicData>
                  </a:graphic>
                </wp:inline>
              </w:drawing>
            </w:r>
          </w:p>
          <w:p w14:paraId="341147EB" w14:textId="77777777" w:rsidR="00E538F7" w:rsidRDefault="00F341E1">
            <w:pPr>
              <w:spacing w:after="85"/>
              <w:ind w:left="66"/>
            </w:pPr>
            <w:r>
              <w:rPr>
                <w:sz w:val="26"/>
              </w:rPr>
              <w:t>REFERÊNCIAS</w:t>
            </w:r>
          </w:p>
          <w:p w14:paraId="1600D253" w14:textId="77777777" w:rsidR="00E538F7" w:rsidRDefault="00F341E1">
            <w:pPr>
              <w:spacing w:after="92"/>
              <w:ind w:left="56"/>
            </w:pPr>
            <w:r>
              <w:rPr>
                <w:sz w:val="20"/>
              </w:rPr>
              <w:t>AKOTIRENE, Carla. Interseccionalidade. São Paulo: Pólen, 2019.</w:t>
            </w:r>
          </w:p>
          <w:p w14:paraId="3891665C" w14:textId="77777777" w:rsidR="00E538F7" w:rsidRDefault="00F341E1">
            <w:pPr>
              <w:spacing w:after="132" w:line="216" w:lineRule="auto"/>
              <w:ind w:left="51" w:right="733" w:firstLine="5"/>
              <w:jc w:val="both"/>
            </w:pPr>
            <w:r>
              <w:rPr>
                <w:sz w:val="20"/>
              </w:rPr>
              <w:t xml:space="preserve">ARAGÃO JÚNIOR, Marcelo </w:t>
            </w:r>
            <w:proofErr w:type="spellStart"/>
            <w:r>
              <w:rPr>
                <w:sz w:val="20"/>
              </w:rPr>
              <w:t>Felinto</w:t>
            </w:r>
            <w:proofErr w:type="spellEnd"/>
            <w:r>
              <w:rPr>
                <w:sz w:val="20"/>
              </w:rPr>
              <w:t xml:space="preserve"> de. No cruzamento das avenidas identitárias: uma análise interseccional de Contos das escritoras Conceição Evaristo e Miriam Alves. 2020.59 f, TCC (Graduação) - Licenciatura em Letras, Universidade Federal da Paraíba, João Pe</w:t>
            </w:r>
            <w:r>
              <w:rPr>
                <w:sz w:val="20"/>
              </w:rPr>
              <w:t>ssoa, 2020.</w:t>
            </w:r>
          </w:p>
          <w:p w14:paraId="3D10B7B5" w14:textId="77777777" w:rsidR="00E538F7" w:rsidRDefault="00F341E1">
            <w:pPr>
              <w:spacing w:after="109" w:line="233" w:lineRule="auto"/>
              <w:ind w:left="46" w:right="743" w:firstLine="10"/>
              <w:jc w:val="both"/>
            </w:pPr>
            <w:r>
              <w:rPr>
                <w:sz w:val="20"/>
              </w:rPr>
              <w:t xml:space="preserve">BUENO, Winnie. Uma introdução ao pensamento de </w:t>
            </w:r>
            <w:proofErr w:type="spellStart"/>
            <w:r>
              <w:rPr>
                <w:sz w:val="20"/>
              </w:rPr>
              <w:t>Patricia</w:t>
            </w:r>
            <w:proofErr w:type="spellEnd"/>
            <w:r>
              <w:rPr>
                <w:sz w:val="20"/>
              </w:rPr>
              <w:t xml:space="preserve"> Hill Collins a partir da perspectiva de uma mulher negra do sul-sul. 2019. Disponível em: https://www.almapreta.com/editorias/o-quilombo/uma-introducaoao-pensamento-de-patricia-hill-collin</w:t>
            </w:r>
            <w:r>
              <w:rPr>
                <w:sz w:val="20"/>
              </w:rPr>
              <w:t xml:space="preserve">s-a-partir-da-perspectiva-de-umamulher-negra-do-sul-sul. Acesso em: 17 </w:t>
            </w:r>
            <w:proofErr w:type="spellStart"/>
            <w:r>
              <w:rPr>
                <w:sz w:val="20"/>
              </w:rPr>
              <w:t>jul</w:t>
            </w:r>
            <w:proofErr w:type="spellEnd"/>
            <w:r>
              <w:rPr>
                <w:sz w:val="20"/>
              </w:rPr>
              <w:t>- 2020</w:t>
            </w:r>
          </w:p>
          <w:p w14:paraId="45645DE4" w14:textId="77777777" w:rsidR="00E538F7" w:rsidRDefault="00F341E1">
            <w:pPr>
              <w:spacing w:after="136" w:line="220" w:lineRule="auto"/>
              <w:ind w:left="36" w:right="626"/>
              <w:jc w:val="both"/>
            </w:pPr>
            <w:r>
              <w:rPr>
                <w:sz w:val="20"/>
              </w:rPr>
              <w:t xml:space="preserve">CARRILLQ </w:t>
            </w:r>
            <w:proofErr w:type="spellStart"/>
            <w:r>
              <w:rPr>
                <w:sz w:val="20"/>
              </w:rPr>
              <w:t>Jesús</w:t>
            </w:r>
            <w:proofErr w:type="spellEnd"/>
            <w:r>
              <w:rPr>
                <w:sz w:val="20"/>
              </w:rPr>
              <w:t xml:space="preserve">. Entrevista com Beatriz </w:t>
            </w:r>
            <w:proofErr w:type="spellStart"/>
            <w:r>
              <w:rPr>
                <w:sz w:val="20"/>
              </w:rPr>
              <w:t>Preciado</w:t>
            </w:r>
            <w:proofErr w:type="spellEnd"/>
            <w:r>
              <w:rPr>
                <w:sz w:val="20"/>
              </w:rPr>
              <w:t xml:space="preserve">. Revista </w:t>
            </w:r>
            <w:proofErr w:type="spellStart"/>
            <w:r>
              <w:rPr>
                <w:sz w:val="20"/>
              </w:rPr>
              <w:t>Poiésis</w:t>
            </w:r>
            <w:proofErr w:type="spellEnd"/>
            <w:r>
              <w:rPr>
                <w:sz w:val="20"/>
              </w:rPr>
              <w:t>. Niterói, v, 11, n. 15, p. 47-71, jul. 2010,</w:t>
            </w:r>
          </w:p>
          <w:p w14:paraId="3672C414" w14:textId="77777777" w:rsidR="00E538F7" w:rsidRDefault="00F341E1">
            <w:pPr>
              <w:spacing w:after="115" w:line="230" w:lineRule="auto"/>
              <w:ind w:left="31" w:right="458" w:firstLine="5"/>
            </w:pPr>
            <w:r>
              <w:rPr>
                <w:sz w:val="20"/>
              </w:rPr>
              <w:t xml:space="preserve">COLLINS, </w:t>
            </w:r>
            <w:proofErr w:type="spellStart"/>
            <w:r>
              <w:rPr>
                <w:sz w:val="20"/>
              </w:rPr>
              <w:t>Patricia</w:t>
            </w:r>
            <w:proofErr w:type="spellEnd"/>
            <w:r>
              <w:rPr>
                <w:sz w:val="20"/>
              </w:rPr>
              <w:t xml:space="preserve"> Hill. Black </w:t>
            </w:r>
            <w:proofErr w:type="spellStart"/>
            <w:r>
              <w:rPr>
                <w:sz w:val="20"/>
              </w:rPr>
              <w:t>Feminist</w:t>
            </w:r>
            <w:proofErr w:type="spellEnd"/>
            <w:r>
              <w:rPr>
                <w:sz w:val="20"/>
              </w:rPr>
              <w:t xml:space="preserve"> </w:t>
            </w:r>
            <w:proofErr w:type="spellStart"/>
            <w:r>
              <w:rPr>
                <w:sz w:val="20"/>
              </w:rPr>
              <w:t>Thought</w:t>
            </w:r>
            <w:proofErr w:type="spellEnd"/>
            <w:r>
              <w:rPr>
                <w:sz w:val="20"/>
              </w:rPr>
              <w:t xml:space="preserve">: </w:t>
            </w:r>
            <w:proofErr w:type="spellStart"/>
            <w:r>
              <w:rPr>
                <w:sz w:val="20"/>
              </w:rPr>
              <w:t>Knowledge</w:t>
            </w:r>
            <w:proofErr w:type="spellEnd"/>
            <w:r>
              <w:rPr>
                <w:sz w:val="20"/>
              </w:rPr>
              <w:t xml:space="preserve">, </w:t>
            </w:r>
            <w:proofErr w:type="spellStart"/>
            <w:r>
              <w:rPr>
                <w:sz w:val="20"/>
              </w:rPr>
              <w:t>Consci</w:t>
            </w:r>
            <w:r>
              <w:rPr>
                <w:sz w:val="20"/>
              </w:rPr>
              <w:t>ousness</w:t>
            </w:r>
            <w:proofErr w:type="spellEnd"/>
            <w:r>
              <w:rPr>
                <w:sz w:val="20"/>
              </w:rPr>
              <w:t xml:space="preserve">, </w:t>
            </w:r>
            <w:proofErr w:type="spellStart"/>
            <w:r>
              <w:rPr>
                <w:sz w:val="20"/>
              </w:rPr>
              <w:t>and</w:t>
            </w:r>
            <w:proofErr w:type="spellEnd"/>
            <w:r>
              <w:rPr>
                <w:sz w:val="20"/>
              </w:rPr>
              <w:t xml:space="preserve"> </w:t>
            </w:r>
            <w:proofErr w:type="spellStart"/>
            <w:r>
              <w:rPr>
                <w:sz w:val="20"/>
              </w:rPr>
              <w:t>the</w:t>
            </w:r>
            <w:proofErr w:type="spellEnd"/>
            <w:r>
              <w:rPr>
                <w:sz w:val="20"/>
              </w:rPr>
              <w:t xml:space="preserve"> </w:t>
            </w:r>
            <w:proofErr w:type="spellStart"/>
            <w:r>
              <w:rPr>
                <w:sz w:val="20"/>
              </w:rPr>
              <w:t>Politics</w:t>
            </w:r>
            <w:proofErr w:type="spellEnd"/>
            <w:r>
              <w:rPr>
                <w:sz w:val="20"/>
              </w:rPr>
              <w:t xml:space="preserve"> </w:t>
            </w:r>
            <w:proofErr w:type="spellStart"/>
            <w:r>
              <w:rPr>
                <w:sz w:val="20"/>
              </w:rPr>
              <w:t>of</w:t>
            </w:r>
            <w:proofErr w:type="spellEnd"/>
            <w:r>
              <w:rPr>
                <w:sz w:val="20"/>
              </w:rPr>
              <w:t xml:space="preserve"> Empowerment, New York: </w:t>
            </w:r>
            <w:proofErr w:type="spellStart"/>
            <w:r>
              <w:rPr>
                <w:sz w:val="20"/>
              </w:rPr>
              <w:t>Routledge</w:t>
            </w:r>
            <w:proofErr w:type="spellEnd"/>
            <w:r>
              <w:rPr>
                <w:sz w:val="20"/>
              </w:rPr>
              <w:t>, 1990.</w:t>
            </w:r>
          </w:p>
          <w:p w14:paraId="6BD8FB58" w14:textId="77777777" w:rsidR="00E538F7" w:rsidRDefault="00F341E1">
            <w:pPr>
              <w:spacing w:after="104" w:line="235" w:lineRule="auto"/>
              <w:ind w:left="31" w:right="137"/>
              <w:jc w:val="both"/>
            </w:pPr>
            <w:r>
              <w:rPr>
                <w:sz w:val="20"/>
              </w:rPr>
              <w:t xml:space="preserve">COLLINS, </w:t>
            </w:r>
            <w:proofErr w:type="spellStart"/>
            <w:r>
              <w:rPr>
                <w:sz w:val="20"/>
              </w:rPr>
              <w:t>Patricia</w:t>
            </w:r>
            <w:proofErr w:type="spellEnd"/>
            <w:r>
              <w:rPr>
                <w:sz w:val="20"/>
              </w:rPr>
              <w:t xml:space="preserve"> Hill, </w:t>
            </w:r>
            <w:proofErr w:type="spellStart"/>
            <w:r>
              <w:rPr>
                <w:sz w:val="20"/>
              </w:rPr>
              <w:t>What's</w:t>
            </w:r>
            <w:proofErr w:type="spellEnd"/>
            <w:r>
              <w:rPr>
                <w:sz w:val="20"/>
              </w:rPr>
              <w:t xml:space="preserve"> in a </w:t>
            </w:r>
            <w:proofErr w:type="spellStart"/>
            <w:r>
              <w:rPr>
                <w:sz w:val="20"/>
              </w:rPr>
              <w:t>name</w:t>
            </w:r>
            <w:proofErr w:type="spellEnd"/>
            <w:r>
              <w:rPr>
                <w:sz w:val="20"/>
              </w:rPr>
              <w:t xml:space="preserve">? </w:t>
            </w:r>
            <w:proofErr w:type="spellStart"/>
            <w:r>
              <w:rPr>
                <w:sz w:val="20"/>
              </w:rPr>
              <w:t>Womanism</w:t>
            </w:r>
            <w:proofErr w:type="spellEnd"/>
            <w:r>
              <w:rPr>
                <w:sz w:val="20"/>
              </w:rPr>
              <w:t xml:space="preserve">, </w:t>
            </w:r>
            <w:proofErr w:type="spellStart"/>
            <w:r>
              <w:rPr>
                <w:sz w:val="20"/>
              </w:rPr>
              <w:t>black</w:t>
            </w:r>
            <w:proofErr w:type="spellEnd"/>
            <w:r>
              <w:rPr>
                <w:sz w:val="20"/>
              </w:rPr>
              <w:t xml:space="preserve"> </w:t>
            </w:r>
            <w:proofErr w:type="spellStart"/>
            <w:r>
              <w:rPr>
                <w:sz w:val="20"/>
              </w:rPr>
              <w:t>feminism</w:t>
            </w:r>
            <w:proofErr w:type="spellEnd"/>
            <w:r>
              <w:rPr>
                <w:sz w:val="20"/>
              </w:rPr>
              <w:t xml:space="preserve">, </w:t>
            </w:r>
            <w:proofErr w:type="spellStart"/>
            <w:r>
              <w:rPr>
                <w:sz w:val="20"/>
              </w:rPr>
              <w:t>and</w:t>
            </w:r>
            <w:proofErr w:type="spellEnd"/>
            <w:r>
              <w:rPr>
                <w:sz w:val="20"/>
              </w:rPr>
              <w:t xml:space="preserve"> </w:t>
            </w:r>
            <w:proofErr w:type="spellStart"/>
            <w:r>
              <w:rPr>
                <w:sz w:val="20"/>
              </w:rPr>
              <w:t>beyond</w:t>
            </w:r>
            <w:proofErr w:type="spellEnd"/>
            <w:r>
              <w:rPr>
                <w:sz w:val="20"/>
              </w:rPr>
              <w:t>, The Black Scholar, [</w:t>
            </w:r>
            <w:proofErr w:type="spellStart"/>
            <w:r>
              <w:rPr>
                <w:sz w:val="20"/>
              </w:rPr>
              <w:t>s.l</w:t>
            </w:r>
            <w:proofErr w:type="spellEnd"/>
            <w:r>
              <w:rPr>
                <w:sz w:val="20"/>
              </w:rPr>
              <w:t>]. v. 26, n. 1, p. 9-17, 1996.</w:t>
            </w:r>
          </w:p>
          <w:p w14:paraId="7E2F5521" w14:textId="77777777" w:rsidR="00E538F7" w:rsidRDefault="00F341E1">
            <w:pPr>
              <w:spacing w:after="118" w:line="231" w:lineRule="auto"/>
              <w:ind w:left="20" w:right="458" w:firstLine="10"/>
              <w:jc w:val="both"/>
            </w:pPr>
            <w:r>
              <w:rPr>
                <w:sz w:val="20"/>
              </w:rPr>
              <w:t xml:space="preserve">COLLINS, </w:t>
            </w:r>
            <w:proofErr w:type="spellStart"/>
            <w:r>
              <w:rPr>
                <w:sz w:val="20"/>
              </w:rPr>
              <w:t>Patricia</w:t>
            </w:r>
            <w:proofErr w:type="spellEnd"/>
            <w:r>
              <w:rPr>
                <w:sz w:val="20"/>
              </w:rPr>
              <w:t xml:space="preserve"> Hill, The </w:t>
            </w:r>
            <w:proofErr w:type="spellStart"/>
            <w:r>
              <w:rPr>
                <w:sz w:val="20"/>
              </w:rPr>
              <w:t>tie</w:t>
            </w:r>
            <w:proofErr w:type="spellEnd"/>
            <w:r>
              <w:rPr>
                <w:sz w:val="20"/>
              </w:rPr>
              <w:t xml:space="preserve"> </w:t>
            </w:r>
            <w:proofErr w:type="spellStart"/>
            <w:r>
              <w:rPr>
                <w:sz w:val="20"/>
              </w:rPr>
              <w:t>that</w:t>
            </w:r>
            <w:proofErr w:type="spellEnd"/>
            <w:r>
              <w:rPr>
                <w:sz w:val="20"/>
              </w:rPr>
              <w:t xml:space="preserve"> </w:t>
            </w:r>
            <w:proofErr w:type="spellStart"/>
            <w:r>
              <w:rPr>
                <w:sz w:val="20"/>
              </w:rPr>
              <w:t>binds</w:t>
            </w:r>
            <w:proofErr w:type="spellEnd"/>
            <w:r>
              <w:rPr>
                <w:sz w:val="20"/>
              </w:rPr>
              <w:t xml:space="preserve">: </w:t>
            </w:r>
            <w:proofErr w:type="spellStart"/>
            <w:r>
              <w:rPr>
                <w:sz w:val="20"/>
              </w:rPr>
              <w:t>race</w:t>
            </w:r>
            <w:proofErr w:type="spellEnd"/>
            <w:r>
              <w:rPr>
                <w:sz w:val="20"/>
              </w:rPr>
              <w:t xml:space="preserve">, </w:t>
            </w:r>
            <w:proofErr w:type="spellStart"/>
            <w:r>
              <w:rPr>
                <w:sz w:val="20"/>
              </w:rPr>
              <w:t>gender</w:t>
            </w:r>
            <w:proofErr w:type="spellEnd"/>
            <w:r>
              <w:rPr>
                <w:sz w:val="20"/>
              </w:rPr>
              <w:t xml:space="preserve"> </w:t>
            </w:r>
            <w:proofErr w:type="spellStart"/>
            <w:r>
              <w:rPr>
                <w:sz w:val="20"/>
              </w:rPr>
              <w:t>and</w:t>
            </w:r>
            <w:proofErr w:type="spellEnd"/>
            <w:r>
              <w:rPr>
                <w:sz w:val="20"/>
              </w:rPr>
              <w:t xml:space="preserve"> </w:t>
            </w:r>
            <w:proofErr w:type="spellStart"/>
            <w:r>
              <w:rPr>
                <w:sz w:val="20"/>
              </w:rPr>
              <w:t>us</w:t>
            </w:r>
            <w:proofErr w:type="spellEnd"/>
            <w:r>
              <w:rPr>
                <w:sz w:val="20"/>
              </w:rPr>
              <w:t xml:space="preserve"> </w:t>
            </w:r>
            <w:proofErr w:type="spellStart"/>
            <w:r>
              <w:rPr>
                <w:sz w:val="20"/>
              </w:rPr>
              <w:t>violence</w:t>
            </w:r>
            <w:proofErr w:type="spellEnd"/>
            <w:r>
              <w:rPr>
                <w:sz w:val="20"/>
              </w:rPr>
              <w:t xml:space="preserve">. </w:t>
            </w:r>
            <w:proofErr w:type="spellStart"/>
            <w:r>
              <w:rPr>
                <w:sz w:val="20"/>
              </w:rPr>
              <w:t>Ethnic</w:t>
            </w:r>
            <w:proofErr w:type="spellEnd"/>
            <w:r>
              <w:rPr>
                <w:sz w:val="20"/>
              </w:rPr>
              <w:t xml:space="preserve"> </w:t>
            </w:r>
            <w:proofErr w:type="spellStart"/>
            <w:r>
              <w:rPr>
                <w:sz w:val="20"/>
              </w:rPr>
              <w:t>and</w:t>
            </w:r>
            <w:proofErr w:type="spellEnd"/>
            <w:r>
              <w:rPr>
                <w:sz w:val="20"/>
              </w:rPr>
              <w:t xml:space="preserve"> Racial </w:t>
            </w:r>
            <w:proofErr w:type="spellStart"/>
            <w:r>
              <w:rPr>
                <w:sz w:val="20"/>
              </w:rPr>
              <w:t>Studies</w:t>
            </w:r>
            <w:proofErr w:type="spellEnd"/>
            <w:r>
              <w:rPr>
                <w:sz w:val="20"/>
              </w:rPr>
              <w:t>, [</w:t>
            </w:r>
            <w:proofErr w:type="spellStart"/>
            <w:r>
              <w:rPr>
                <w:sz w:val="20"/>
              </w:rPr>
              <w:t>s.l.l</w:t>
            </w:r>
            <w:proofErr w:type="spellEnd"/>
            <w:r>
              <w:rPr>
                <w:sz w:val="20"/>
              </w:rPr>
              <w:t xml:space="preserve"> v. 21, n. 5, p</w:t>
            </w:r>
            <w:r>
              <w:rPr>
                <w:sz w:val="20"/>
              </w:rPr>
              <w:t>. 917-</w:t>
            </w:r>
            <w:proofErr w:type="gramStart"/>
            <w:r>
              <w:rPr>
                <w:sz w:val="20"/>
              </w:rPr>
              <w:t>938,jan.</w:t>
            </w:r>
            <w:proofErr w:type="gramEnd"/>
            <w:r>
              <w:rPr>
                <w:sz w:val="20"/>
              </w:rPr>
              <w:t>1998</w:t>
            </w:r>
          </w:p>
          <w:p w14:paraId="78E1BE0F" w14:textId="77777777" w:rsidR="00E538F7" w:rsidRDefault="00F341E1">
            <w:pPr>
              <w:spacing w:after="133" w:line="216" w:lineRule="auto"/>
              <w:ind w:left="15" w:right="769" w:firstLine="5"/>
              <w:jc w:val="both"/>
            </w:pPr>
            <w:r>
              <w:rPr>
                <w:sz w:val="18"/>
              </w:rPr>
              <w:t xml:space="preserve">CRENSHAW, </w:t>
            </w:r>
            <w:proofErr w:type="spellStart"/>
            <w:r>
              <w:rPr>
                <w:sz w:val="18"/>
              </w:rPr>
              <w:t>Kimberlé</w:t>
            </w:r>
            <w:proofErr w:type="spellEnd"/>
            <w:r>
              <w:rPr>
                <w:sz w:val="18"/>
              </w:rPr>
              <w:t xml:space="preserve">. Mapping </w:t>
            </w:r>
            <w:proofErr w:type="spellStart"/>
            <w:r>
              <w:rPr>
                <w:sz w:val="18"/>
              </w:rPr>
              <w:t>the</w:t>
            </w:r>
            <w:proofErr w:type="spellEnd"/>
            <w:r>
              <w:rPr>
                <w:sz w:val="18"/>
              </w:rPr>
              <w:t xml:space="preserve"> </w:t>
            </w:r>
            <w:proofErr w:type="spellStart"/>
            <w:r>
              <w:rPr>
                <w:sz w:val="18"/>
              </w:rPr>
              <w:t>Margins</w:t>
            </w:r>
            <w:proofErr w:type="spellEnd"/>
            <w:r>
              <w:rPr>
                <w:sz w:val="18"/>
              </w:rPr>
              <w:t xml:space="preserve">: </w:t>
            </w:r>
            <w:proofErr w:type="spellStart"/>
            <w:r>
              <w:rPr>
                <w:sz w:val="18"/>
              </w:rPr>
              <w:t>intersectionality</w:t>
            </w:r>
            <w:proofErr w:type="spellEnd"/>
            <w:r>
              <w:rPr>
                <w:sz w:val="18"/>
              </w:rPr>
              <w:t xml:space="preserve">, </w:t>
            </w:r>
            <w:proofErr w:type="spellStart"/>
            <w:r>
              <w:rPr>
                <w:sz w:val="18"/>
              </w:rPr>
              <w:t>identity</w:t>
            </w:r>
            <w:proofErr w:type="spellEnd"/>
            <w:r>
              <w:rPr>
                <w:sz w:val="18"/>
              </w:rPr>
              <w:t xml:space="preserve"> </w:t>
            </w:r>
            <w:proofErr w:type="spellStart"/>
            <w:r>
              <w:rPr>
                <w:sz w:val="18"/>
              </w:rPr>
              <w:t>politics</w:t>
            </w:r>
            <w:proofErr w:type="spellEnd"/>
            <w:r>
              <w:rPr>
                <w:sz w:val="18"/>
              </w:rPr>
              <w:t xml:space="preserve">, </w:t>
            </w:r>
            <w:proofErr w:type="spellStart"/>
            <w:r>
              <w:rPr>
                <w:sz w:val="18"/>
              </w:rPr>
              <w:t>and</w:t>
            </w:r>
            <w:proofErr w:type="spellEnd"/>
            <w:r>
              <w:rPr>
                <w:sz w:val="18"/>
              </w:rPr>
              <w:t xml:space="preserve"> </w:t>
            </w:r>
            <w:proofErr w:type="spellStart"/>
            <w:r>
              <w:rPr>
                <w:sz w:val="18"/>
              </w:rPr>
              <w:t>violence</w:t>
            </w:r>
            <w:proofErr w:type="spellEnd"/>
            <w:r>
              <w:rPr>
                <w:sz w:val="18"/>
              </w:rPr>
              <w:t xml:space="preserve"> </w:t>
            </w:r>
            <w:proofErr w:type="spellStart"/>
            <w:r>
              <w:rPr>
                <w:sz w:val="18"/>
              </w:rPr>
              <w:t>against</w:t>
            </w:r>
            <w:proofErr w:type="spellEnd"/>
            <w:r>
              <w:rPr>
                <w:sz w:val="18"/>
              </w:rPr>
              <w:t xml:space="preserve"> </w:t>
            </w:r>
            <w:proofErr w:type="spellStart"/>
            <w:r>
              <w:rPr>
                <w:sz w:val="18"/>
              </w:rPr>
              <w:t>women</w:t>
            </w:r>
            <w:proofErr w:type="spellEnd"/>
            <w:r>
              <w:rPr>
                <w:sz w:val="18"/>
              </w:rPr>
              <w:t xml:space="preserve"> </w:t>
            </w:r>
            <w:proofErr w:type="spellStart"/>
            <w:r>
              <w:rPr>
                <w:sz w:val="18"/>
              </w:rPr>
              <w:t>of</w:t>
            </w:r>
            <w:proofErr w:type="spellEnd"/>
            <w:r>
              <w:rPr>
                <w:sz w:val="18"/>
              </w:rPr>
              <w:t xml:space="preserve"> color, Stanford Law Review, [</w:t>
            </w:r>
            <w:proofErr w:type="spellStart"/>
            <w:r>
              <w:rPr>
                <w:sz w:val="18"/>
              </w:rPr>
              <w:t>s.l</w:t>
            </w:r>
            <w:proofErr w:type="spellEnd"/>
            <w:r>
              <w:rPr>
                <w:sz w:val="18"/>
              </w:rPr>
              <w:t xml:space="preserve">.], v. 43, n. 6, p. 1241-1299, </w:t>
            </w:r>
            <w:proofErr w:type="spellStart"/>
            <w:r>
              <w:rPr>
                <w:sz w:val="18"/>
              </w:rPr>
              <w:t>jul</w:t>
            </w:r>
            <w:proofErr w:type="spellEnd"/>
            <w:r>
              <w:rPr>
                <w:sz w:val="18"/>
              </w:rPr>
              <w:t>, 1991.</w:t>
            </w:r>
          </w:p>
          <w:p w14:paraId="07453505" w14:textId="77777777" w:rsidR="00E538F7" w:rsidRDefault="00F341E1">
            <w:pPr>
              <w:spacing w:after="84" w:line="221" w:lineRule="auto"/>
              <w:ind w:left="15" w:right="769"/>
              <w:jc w:val="both"/>
            </w:pPr>
            <w:r>
              <w:rPr>
                <w:sz w:val="20"/>
              </w:rPr>
              <w:t xml:space="preserve">CRENSHAW, </w:t>
            </w:r>
            <w:proofErr w:type="spellStart"/>
            <w:r>
              <w:rPr>
                <w:sz w:val="20"/>
              </w:rPr>
              <w:t>Kimberlé</w:t>
            </w:r>
            <w:proofErr w:type="spellEnd"/>
            <w:r>
              <w:rPr>
                <w:sz w:val="20"/>
              </w:rPr>
              <w:t xml:space="preserve">. </w:t>
            </w:r>
            <w:proofErr w:type="spellStart"/>
            <w:r>
              <w:rPr>
                <w:sz w:val="20"/>
              </w:rPr>
              <w:t>What</w:t>
            </w:r>
            <w:proofErr w:type="spellEnd"/>
            <w:r>
              <w:rPr>
                <w:sz w:val="20"/>
              </w:rPr>
              <w:t xml:space="preserve"> </w:t>
            </w:r>
            <w:proofErr w:type="spellStart"/>
            <w:r>
              <w:rPr>
                <w:sz w:val="20"/>
              </w:rPr>
              <w:t>is</w:t>
            </w:r>
            <w:proofErr w:type="spellEnd"/>
            <w:r>
              <w:rPr>
                <w:sz w:val="20"/>
              </w:rPr>
              <w:t xml:space="preserve"> </w:t>
            </w:r>
            <w:proofErr w:type="spellStart"/>
            <w:r>
              <w:rPr>
                <w:sz w:val="20"/>
              </w:rPr>
              <w:t>Intersectionaljty</w:t>
            </w:r>
            <w:proofErr w:type="spellEnd"/>
            <w:r>
              <w:rPr>
                <w:sz w:val="20"/>
              </w:rPr>
              <w:t>? 2017, (</w:t>
            </w:r>
            <w:r>
              <w:rPr>
                <w:sz w:val="20"/>
              </w:rPr>
              <w:t>1m54s). Disponível em: &lt;https://www.youtube.com/</w:t>
            </w:r>
            <w:proofErr w:type="spellStart"/>
            <w:r>
              <w:rPr>
                <w:sz w:val="20"/>
              </w:rPr>
              <w:t>watch?v</w:t>
            </w:r>
            <w:proofErr w:type="spellEnd"/>
            <w:r>
              <w:rPr>
                <w:sz w:val="20"/>
              </w:rPr>
              <w:t>=ViDtnfQ9FHc&amp;feature=</w:t>
            </w:r>
            <w:proofErr w:type="spellStart"/>
            <w:r>
              <w:rPr>
                <w:sz w:val="20"/>
              </w:rPr>
              <w:t>youtu</w:t>
            </w:r>
            <w:proofErr w:type="spellEnd"/>
            <w:r>
              <w:rPr>
                <w:sz w:val="20"/>
              </w:rPr>
              <w:t xml:space="preserve">. </w:t>
            </w:r>
            <w:proofErr w:type="spellStart"/>
            <w:r>
              <w:rPr>
                <w:sz w:val="20"/>
              </w:rPr>
              <w:t>bez</w:t>
            </w:r>
            <w:proofErr w:type="spellEnd"/>
            <w:r>
              <w:rPr>
                <w:sz w:val="20"/>
              </w:rPr>
              <w:t xml:space="preserve"> Acesso em: 28 jun. 2020,</w:t>
            </w:r>
          </w:p>
          <w:p w14:paraId="050FC621" w14:textId="77777777" w:rsidR="00E538F7" w:rsidRDefault="00F341E1">
            <w:pPr>
              <w:spacing w:after="141" w:line="216" w:lineRule="auto"/>
              <w:ind w:left="10" w:right="779" w:firstLine="5"/>
              <w:jc w:val="both"/>
            </w:pPr>
            <w:r>
              <w:rPr>
                <w:sz w:val="20"/>
              </w:rPr>
              <w:t>FERRERO, Clara O vocabulário feminista que todos já deveriam estar dominando em 2017: o que é sororidade? E cultura do estupro? Solucionamos tod</w:t>
            </w:r>
            <w:r>
              <w:rPr>
                <w:sz w:val="20"/>
              </w:rPr>
              <w:t xml:space="preserve">as as dúvidas neste pequeno dicionário. 2017. Disponível em: httpsWbrasil.elpais.com/brasil/2017/07/10/cultura/149970 8850_128936. </w:t>
            </w:r>
            <w:proofErr w:type="spellStart"/>
            <w:r>
              <w:rPr>
                <w:sz w:val="20"/>
              </w:rPr>
              <w:t>html</w:t>
            </w:r>
            <w:proofErr w:type="spellEnd"/>
            <w:r>
              <w:rPr>
                <w:sz w:val="20"/>
              </w:rPr>
              <w:t>. Acesso em: 20 jul. 2020,</w:t>
            </w:r>
          </w:p>
          <w:p w14:paraId="49309423" w14:textId="77777777" w:rsidR="00E538F7" w:rsidRDefault="00F341E1">
            <w:pPr>
              <w:spacing w:after="0"/>
              <w:ind w:right="473" w:firstLine="10"/>
            </w:pPr>
            <w:r>
              <w:rPr>
                <w:sz w:val="20"/>
              </w:rPr>
              <w:t xml:space="preserve">FURTADO, </w:t>
            </w:r>
            <w:proofErr w:type="spellStart"/>
            <w:r>
              <w:rPr>
                <w:sz w:val="20"/>
              </w:rPr>
              <w:t>Luciana.A</w:t>
            </w:r>
            <w:proofErr w:type="spellEnd"/>
            <w:r>
              <w:rPr>
                <w:sz w:val="20"/>
              </w:rPr>
              <w:t xml:space="preserve"> Interseccionalidade e o entrecruzamento de violências epistêmicas no videoc</w:t>
            </w:r>
            <w:r>
              <w:rPr>
                <w:sz w:val="20"/>
              </w:rPr>
              <w:t>lipe '</w:t>
            </w:r>
            <w:proofErr w:type="spellStart"/>
            <w:r>
              <w:rPr>
                <w:sz w:val="20"/>
              </w:rPr>
              <w:t>Mandume</w:t>
            </w:r>
            <w:proofErr w:type="spellEnd"/>
            <w:r>
              <w:rPr>
                <w:sz w:val="20"/>
              </w:rPr>
              <w:t>' Revista Fronteiras - estudos midiáticos, [</w:t>
            </w:r>
            <w:proofErr w:type="spellStart"/>
            <w:proofErr w:type="gramStart"/>
            <w:r>
              <w:rPr>
                <w:sz w:val="20"/>
              </w:rPr>
              <w:t>s.ll</w:t>
            </w:r>
            <w:proofErr w:type="spellEnd"/>
            <w:proofErr w:type="gramEnd"/>
            <w:r>
              <w:rPr>
                <w:sz w:val="20"/>
              </w:rPr>
              <w:t xml:space="preserve"> v. 21, n. 3, p. 142-155, dez, 2019,</w:t>
            </w:r>
          </w:p>
        </w:tc>
        <w:tc>
          <w:tcPr>
            <w:tcW w:w="7494" w:type="dxa"/>
            <w:tcBorders>
              <w:top w:val="nil"/>
              <w:left w:val="single" w:sz="2" w:space="0" w:color="000000"/>
              <w:bottom w:val="single" w:sz="2" w:space="0" w:color="000000"/>
              <w:right w:val="nil"/>
            </w:tcBorders>
            <w:vAlign w:val="center"/>
          </w:tcPr>
          <w:p w14:paraId="67AFECBC" w14:textId="77777777" w:rsidR="00E538F7" w:rsidRDefault="00F341E1">
            <w:pPr>
              <w:spacing w:after="105" w:line="217" w:lineRule="auto"/>
              <w:ind w:left="5" w:right="962"/>
              <w:jc w:val="both"/>
            </w:pPr>
            <w:r>
              <w:rPr>
                <w:noProof/>
              </w:rPr>
              <w:drawing>
                <wp:anchor distT="0" distB="0" distL="114300" distR="114300" simplePos="0" relativeHeight="251667456" behindDoc="0" locked="0" layoutInCell="1" allowOverlap="0" wp14:anchorId="340486DF" wp14:editId="2CB6DEC5">
                  <wp:simplePos x="0" y="0"/>
                  <wp:positionH relativeFrom="column">
                    <wp:posOffset>4684121</wp:posOffset>
                  </wp:positionH>
                  <wp:positionV relativeFrom="paragraph">
                    <wp:posOffset>-210113</wp:posOffset>
                  </wp:positionV>
                  <wp:extent cx="6465" cy="5300540"/>
                  <wp:effectExtent l="0" t="0" r="0" b="0"/>
                  <wp:wrapSquare wrapText="bothSides"/>
                  <wp:docPr id="73597" name="Picture 73597"/>
                  <wp:cNvGraphicFramePr/>
                  <a:graphic xmlns:a="http://schemas.openxmlformats.org/drawingml/2006/main">
                    <a:graphicData uri="http://schemas.openxmlformats.org/drawingml/2006/picture">
                      <pic:pic xmlns:pic="http://schemas.openxmlformats.org/drawingml/2006/picture">
                        <pic:nvPicPr>
                          <pic:cNvPr id="73597" name="Picture 73597"/>
                          <pic:cNvPicPr/>
                        </pic:nvPicPr>
                        <pic:blipFill>
                          <a:blip r:embed="rId25"/>
                          <a:stretch>
                            <a:fillRect/>
                          </a:stretch>
                        </pic:blipFill>
                        <pic:spPr>
                          <a:xfrm>
                            <a:off x="0" y="0"/>
                            <a:ext cx="6465" cy="5300540"/>
                          </a:xfrm>
                          <a:prstGeom prst="rect">
                            <a:avLst/>
                          </a:prstGeom>
                        </pic:spPr>
                      </pic:pic>
                    </a:graphicData>
                  </a:graphic>
                </wp:anchor>
              </w:drawing>
            </w:r>
            <w:r>
              <w:rPr>
                <w:sz w:val="20"/>
              </w:rPr>
              <w:t xml:space="preserve">HENNING, Carlos Eduardo. Interseccionalidade e pensamento feminista: as contribuições históricas e os debates contemporâneos acerca do entrelaçamento de marcadores sociais da diferença Mediações, Londrina, v. 20 n. 2, p. 97-128, </w:t>
            </w:r>
            <w:proofErr w:type="spellStart"/>
            <w:r>
              <w:rPr>
                <w:sz w:val="20"/>
              </w:rPr>
              <w:t>julJdez</w:t>
            </w:r>
            <w:proofErr w:type="spellEnd"/>
            <w:r>
              <w:rPr>
                <w:sz w:val="20"/>
              </w:rPr>
              <w:t>. 2015.</w:t>
            </w:r>
          </w:p>
          <w:p w14:paraId="6319E952" w14:textId="77777777" w:rsidR="00E538F7" w:rsidRDefault="00F341E1">
            <w:pPr>
              <w:spacing w:after="106" w:line="222" w:lineRule="auto"/>
              <w:ind w:left="10" w:right="580" w:firstLine="5"/>
            </w:pPr>
            <w:r>
              <w:rPr>
                <w:sz w:val="18"/>
              </w:rPr>
              <w:t>HIRATA, Hele</w:t>
            </w:r>
            <w:r>
              <w:rPr>
                <w:sz w:val="18"/>
              </w:rPr>
              <w:t>na. Gênero, classe e raça Interseccionalidade e consubstancialidade das relações sociais. Tempo soc., São Paulo, v. 26, n. 1, p. 61-73, jun. 2014</w:t>
            </w:r>
          </w:p>
          <w:p w14:paraId="7418E6BF" w14:textId="77777777" w:rsidR="00E538F7" w:rsidRDefault="00F341E1">
            <w:pPr>
              <w:spacing w:after="106" w:line="220" w:lineRule="auto"/>
              <w:ind w:left="15"/>
            </w:pPr>
            <w:r>
              <w:rPr>
                <w:sz w:val="20"/>
              </w:rPr>
              <w:t xml:space="preserve">LINN da Quebrada. Bixa Preta. Disponível em: &lt;https://www.letras.mus.br/ </w:t>
            </w:r>
            <w:proofErr w:type="spellStart"/>
            <w:r>
              <w:rPr>
                <w:sz w:val="20"/>
              </w:rPr>
              <w:t>mc</w:t>
            </w:r>
            <w:proofErr w:type="spellEnd"/>
            <w:r>
              <w:rPr>
                <w:sz w:val="20"/>
              </w:rPr>
              <w:t>-</w:t>
            </w:r>
            <w:proofErr w:type="spellStart"/>
            <w:r>
              <w:rPr>
                <w:sz w:val="20"/>
              </w:rPr>
              <w:t>linn</w:t>
            </w:r>
            <w:proofErr w:type="spellEnd"/>
            <w:r>
              <w:rPr>
                <w:sz w:val="20"/>
              </w:rPr>
              <w:t>-da-quebrada/bixa-preta/&gt;. Ace</w:t>
            </w:r>
            <w:r>
              <w:rPr>
                <w:sz w:val="20"/>
              </w:rPr>
              <w:t>sso em: 28 jun. 2020.</w:t>
            </w:r>
          </w:p>
          <w:p w14:paraId="7A59262B" w14:textId="77777777" w:rsidR="00E538F7" w:rsidRDefault="00F341E1">
            <w:pPr>
              <w:spacing w:after="113" w:line="216" w:lineRule="auto"/>
              <w:ind w:left="15" w:right="952"/>
              <w:jc w:val="both"/>
            </w:pPr>
            <w:r>
              <w:rPr>
                <w:sz w:val="20"/>
              </w:rPr>
              <w:t xml:space="preserve">LORDE, </w:t>
            </w:r>
            <w:proofErr w:type="spellStart"/>
            <w:r>
              <w:rPr>
                <w:sz w:val="20"/>
              </w:rPr>
              <w:t>Audre</w:t>
            </w:r>
            <w:proofErr w:type="spellEnd"/>
            <w:r>
              <w:rPr>
                <w:sz w:val="20"/>
              </w:rPr>
              <w:t xml:space="preserve">. Não existe hierarquia de opressão. In: LORDE, </w:t>
            </w:r>
            <w:proofErr w:type="spellStart"/>
            <w:r>
              <w:rPr>
                <w:sz w:val="20"/>
              </w:rPr>
              <w:t>Audre</w:t>
            </w:r>
            <w:proofErr w:type="spellEnd"/>
            <w:r>
              <w:rPr>
                <w:sz w:val="20"/>
              </w:rPr>
              <w:t xml:space="preserve"> et al (org.</w:t>
            </w:r>
            <w:proofErr w:type="gramStart"/>
            <w:r>
              <w:rPr>
                <w:sz w:val="20"/>
              </w:rPr>
              <w:t>).Pensamento</w:t>
            </w:r>
            <w:proofErr w:type="gramEnd"/>
            <w:r>
              <w:rPr>
                <w:sz w:val="20"/>
              </w:rPr>
              <w:t xml:space="preserve"> feminista: conceitos fundamentais. Rio de Janeiro: Bazar do Tempo, p. 234-236, 2019</w:t>
            </w:r>
          </w:p>
          <w:p w14:paraId="491A3855" w14:textId="77777777" w:rsidR="00E538F7" w:rsidRDefault="00F341E1">
            <w:pPr>
              <w:spacing w:after="110" w:line="219" w:lineRule="auto"/>
              <w:ind w:left="25" w:right="336"/>
              <w:jc w:val="both"/>
            </w:pPr>
            <w:r>
              <w:rPr>
                <w:sz w:val="20"/>
              </w:rPr>
              <w:t xml:space="preserve">MCCALL, Leslie. The </w:t>
            </w:r>
            <w:proofErr w:type="spellStart"/>
            <w:r>
              <w:rPr>
                <w:sz w:val="20"/>
              </w:rPr>
              <w:t>Complexity</w:t>
            </w:r>
            <w:proofErr w:type="spellEnd"/>
            <w:r>
              <w:rPr>
                <w:sz w:val="20"/>
              </w:rPr>
              <w:t xml:space="preserve"> </w:t>
            </w:r>
            <w:proofErr w:type="spellStart"/>
            <w:r>
              <w:rPr>
                <w:sz w:val="20"/>
              </w:rPr>
              <w:t>of</w:t>
            </w:r>
            <w:proofErr w:type="spellEnd"/>
            <w:r>
              <w:rPr>
                <w:sz w:val="20"/>
              </w:rPr>
              <w:t xml:space="preserve"> </w:t>
            </w:r>
            <w:proofErr w:type="spellStart"/>
            <w:r>
              <w:rPr>
                <w:sz w:val="20"/>
              </w:rPr>
              <w:t>Intersectionality</w:t>
            </w:r>
            <w:proofErr w:type="spellEnd"/>
            <w:r>
              <w:rPr>
                <w:sz w:val="20"/>
              </w:rPr>
              <w:t xml:space="preserve">. </w:t>
            </w:r>
            <w:proofErr w:type="spellStart"/>
            <w:r>
              <w:rPr>
                <w:sz w:val="20"/>
              </w:rPr>
              <w:t>Signs</w:t>
            </w:r>
            <w:proofErr w:type="spellEnd"/>
            <w:r>
              <w:rPr>
                <w:sz w:val="20"/>
              </w:rPr>
              <w:t xml:space="preserve">: </w:t>
            </w:r>
            <w:proofErr w:type="spellStart"/>
            <w:r>
              <w:rPr>
                <w:sz w:val="20"/>
              </w:rPr>
              <w:t>Journal</w:t>
            </w:r>
            <w:proofErr w:type="spellEnd"/>
            <w:r>
              <w:rPr>
                <w:sz w:val="20"/>
              </w:rPr>
              <w:t xml:space="preserve"> </w:t>
            </w:r>
            <w:proofErr w:type="spellStart"/>
            <w:r>
              <w:rPr>
                <w:sz w:val="20"/>
              </w:rPr>
              <w:t>of</w:t>
            </w:r>
            <w:proofErr w:type="spellEnd"/>
            <w:r>
              <w:rPr>
                <w:sz w:val="20"/>
              </w:rPr>
              <w:t xml:space="preserve"> </w:t>
            </w:r>
            <w:proofErr w:type="spellStart"/>
            <w:r>
              <w:rPr>
                <w:sz w:val="20"/>
              </w:rPr>
              <w:t>Women</w:t>
            </w:r>
            <w:proofErr w:type="spellEnd"/>
            <w:r>
              <w:rPr>
                <w:sz w:val="20"/>
              </w:rPr>
              <w:t xml:space="preserve"> in Culture </w:t>
            </w:r>
            <w:proofErr w:type="spellStart"/>
            <w:r>
              <w:rPr>
                <w:sz w:val="20"/>
              </w:rPr>
              <w:t>and</w:t>
            </w:r>
            <w:proofErr w:type="spellEnd"/>
            <w:r>
              <w:rPr>
                <w:sz w:val="20"/>
              </w:rPr>
              <w:t xml:space="preserve"> Society, [</w:t>
            </w:r>
            <w:proofErr w:type="spellStart"/>
            <w:r>
              <w:rPr>
                <w:sz w:val="20"/>
              </w:rPr>
              <w:t>s.l</w:t>
            </w:r>
            <w:proofErr w:type="spellEnd"/>
            <w:r>
              <w:rPr>
                <w:sz w:val="20"/>
              </w:rPr>
              <w:t>.], v. 30, n. 3, p. 1771-1800, mar. 2005.</w:t>
            </w:r>
          </w:p>
          <w:p w14:paraId="0DEFE056" w14:textId="77777777" w:rsidR="00E538F7" w:rsidRDefault="00F341E1">
            <w:pPr>
              <w:spacing w:after="104" w:line="220" w:lineRule="auto"/>
              <w:ind w:left="31" w:right="748"/>
            </w:pPr>
            <w:r>
              <w:rPr>
                <w:sz w:val="20"/>
              </w:rPr>
              <w:t xml:space="preserve">MARQUES, </w:t>
            </w:r>
            <w:proofErr w:type="spellStart"/>
            <w:r>
              <w:rPr>
                <w:sz w:val="20"/>
              </w:rPr>
              <w:t>Gilza</w:t>
            </w:r>
            <w:proofErr w:type="spellEnd"/>
            <w:r>
              <w:rPr>
                <w:sz w:val="20"/>
              </w:rPr>
              <w:t xml:space="preserve">. Dialogando com </w:t>
            </w:r>
            <w:proofErr w:type="spellStart"/>
            <w:r>
              <w:rPr>
                <w:sz w:val="20"/>
              </w:rPr>
              <w:t>Kimberle</w:t>
            </w:r>
            <w:proofErr w:type="spellEnd"/>
            <w:r>
              <w:rPr>
                <w:sz w:val="20"/>
              </w:rPr>
              <w:t xml:space="preserve"> </w:t>
            </w:r>
            <w:proofErr w:type="spellStart"/>
            <w:r>
              <w:rPr>
                <w:sz w:val="20"/>
              </w:rPr>
              <w:t>Crenshaw</w:t>
            </w:r>
            <w:proofErr w:type="spellEnd"/>
            <w:r>
              <w:rPr>
                <w:sz w:val="20"/>
              </w:rPr>
              <w:t xml:space="preserve"> (ou: porque falar de Interseccionalidades nos limita). 2016,</w:t>
            </w:r>
            <w:r>
              <w:rPr>
                <w:sz w:val="20"/>
              </w:rPr>
              <w:t xml:space="preserve"> Disponível em:https://www.geledes.org.br/dialogando-com-kimberle-crenshaw-ou-porque-falardeinterseccionalidades-nos-limita/. Acesso em: 22 jul. 2020.</w:t>
            </w:r>
          </w:p>
          <w:p w14:paraId="467DF359" w14:textId="77777777" w:rsidR="00E538F7" w:rsidRDefault="00F341E1">
            <w:pPr>
              <w:spacing w:after="61"/>
              <w:ind w:left="41"/>
            </w:pPr>
            <w:r>
              <w:rPr>
                <w:sz w:val="20"/>
              </w:rPr>
              <w:t xml:space="preserve">MBANDI, </w:t>
            </w:r>
            <w:proofErr w:type="spellStart"/>
            <w:r>
              <w:rPr>
                <w:sz w:val="20"/>
              </w:rPr>
              <w:t>Nzinga</w:t>
            </w:r>
            <w:proofErr w:type="spellEnd"/>
            <w:r>
              <w:rPr>
                <w:sz w:val="20"/>
              </w:rPr>
              <w:t>. Interseccionalidades. Salvador: UFBA, 2019.</w:t>
            </w:r>
          </w:p>
          <w:p w14:paraId="68ED6855" w14:textId="77777777" w:rsidR="00E538F7" w:rsidRDefault="00F341E1">
            <w:pPr>
              <w:spacing w:after="101" w:line="248" w:lineRule="auto"/>
              <w:ind w:left="41" w:right="453"/>
              <w:jc w:val="both"/>
            </w:pPr>
            <w:r>
              <w:rPr>
                <w:sz w:val="20"/>
              </w:rPr>
              <w:t>NOGUEIRA, Conceição. Interseccionalidade e psicologia feminista. Salvador: Derives, 2017,</w:t>
            </w:r>
          </w:p>
          <w:p w14:paraId="76C87E42" w14:textId="77777777" w:rsidR="00E538F7" w:rsidRDefault="00F341E1">
            <w:pPr>
              <w:spacing w:after="83" w:line="275" w:lineRule="auto"/>
              <w:ind w:left="41" w:right="540"/>
            </w:pPr>
            <w:r>
              <w:t xml:space="preserve">OLIVEIRA, João Manuel de. Desobediência de gênero. Salvador: Devires, </w:t>
            </w:r>
            <w:r>
              <w:t>2017.</w:t>
            </w:r>
          </w:p>
          <w:p w14:paraId="04A0B413" w14:textId="77777777" w:rsidR="00E538F7" w:rsidRDefault="00F341E1">
            <w:pPr>
              <w:spacing w:after="90" w:line="225" w:lineRule="auto"/>
              <w:ind w:left="41" w:right="927" w:firstLine="5"/>
              <w:jc w:val="both"/>
            </w:pPr>
            <w:r>
              <w:rPr>
                <w:sz w:val="20"/>
              </w:rPr>
              <w:t>SAMPAIO, Juliana Lira. Gênero e Opressão. Rio de Janeiro, 2017. Color. Disponível em: http</w:t>
            </w:r>
            <w:r>
              <w:rPr>
                <w:sz w:val="20"/>
              </w:rPr>
              <w:t xml:space="preserve">://slideplayer.com.br/slide/11443961/.Acesso em: 18 </w:t>
            </w:r>
            <w:proofErr w:type="spellStart"/>
            <w:r>
              <w:rPr>
                <w:sz w:val="20"/>
              </w:rPr>
              <w:t>jul</w:t>
            </w:r>
            <w:proofErr w:type="spellEnd"/>
            <w:r>
              <w:rPr>
                <w:sz w:val="20"/>
              </w:rPr>
              <w:t>, 2020.</w:t>
            </w:r>
          </w:p>
          <w:p w14:paraId="2428E764" w14:textId="77777777" w:rsidR="00E538F7" w:rsidRDefault="00F341E1">
            <w:pPr>
              <w:spacing w:after="2280" w:line="216" w:lineRule="auto"/>
              <w:ind w:left="51" w:right="927" w:hanging="5"/>
              <w:jc w:val="both"/>
            </w:pPr>
            <w:r>
              <w:rPr>
                <w:sz w:val="20"/>
              </w:rPr>
              <w:t xml:space="preserve">VERA, </w:t>
            </w:r>
            <w:proofErr w:type="spellStart"/>
            <w:r>
              <w:rPr>
                <w:sz w:val="20"/>
              </w:rPr>
              <w:t>María</w:t>
            </w:r>
            <w:proofErr w:type="spellEnd"/>
            <w:r>
              <w:rPr>
                <w:sz w:val="20"/>
              </w:rPr>
              <w:t xml:space="preserve"> Antonieta Feminismos </w:t>
            </w:r>
            <w:proofErr w:type="spellStart"/>
            <w:r>
              <w:rPr>
                <w:sz w:val="20"/>
              </w:rPr>
              <w:t>Contemporáneos</w:t>
            </w:r>
            <w:proofErr w:type="spellEnd"/>
            <w:r>
              <w:rPr>
                <w:sz w:val="20"/>
              </w:rPr>
              <w:t xml:space="preserve">: más </w:t>
            </w:r>
            <w:proofErr w:type="spellStart"/>
            <w:r>
              <w:rPr>
                <w:sz w:val="20"/>
              </w:rPr>
              <w:t>allá</w:t>
            </w:r>
            <w:proofErr w:type="spellEnd"/>
            <w:r>
              <w:rPr>
                <w:sz w:val="20"/>
              </w:rPr>
              <w:t xml:space="preserve"> </w:t>
            </w:r>
            <w:proofErr w:type="spellStart"/>
            <w:r>
              <w:rPr>
                <w:sz w:val="20"/>
              </w:rPr>
              <w:t>del</w:t>
            </w:r>
            <w:proofErr w:type="spellEnd"/>
            <w:r>
              <w:rPr>
                <w:sz w:val="20"/>
              </w:rPr>
              <w:t xml:space="preserve"> </w:t>
            </w:r>
            <w:proofErr w:type="spellStart"/>
            <w:r>
              <w:rPr>
                <w:sz w:val="20"/>
              </w:rPr>
              <w:t>sujero</w:t>
            </w:r>
            <w:proofErr w:type="spellEnd"/>
            <w:r>
              <w:rPr>
                <w:sz w:val="20"/>
              </w:rPr>
              <w:t xml:space="preserve"> político </w:t>
            </w:r>
            <w:proofErr w:type="spellStart"/>
            <w:r>
              <w:rPr>
                <w:sz w:val="20"/>
              </w:rPr>
              <w:t>mujer</w:t>
            </w:r>
            <w:proofErr w:type="spellEnd"/>
            <w:r>
              <w:rPr>
                <w:sz w:val="20"/>
              </w:rPr>
              <w:t xml:space="preserve">, material </w:t>
            </w:r>
            <w:proofErr w:type="spellStart"/>
            <w:r>
              <w:rPr>
                <w:sz w:val="20"/>
              </w:rPr>
              <w:t>del</w:t>
            </w:r>
            <w:proofErr w:type="spellEnd"/>
            <w:r>
              <w:rPr>
                <w:sz w:val="20"/>
              </w:rPr>
              <w:t xml:space="preserve"> curso "</w:t>
            </w:r>
            <w:proofErr w:type="spellStart"/>
            <w:r>
              <w:rPr>
                <w:sz w:val="20"/>
              </w:rPr>
              <w:t>Introducción</w:t>
            </w:r>
            <w:proofErr w:type="spellEnd"/>
            <w:r>
              <w:rPr>
                <w:sz w:val="20"/>
              </w:rPr>
              <w:t xml:space="preserve"> a Ias teorias feministas", </w:t>
            </w:r>
            <w:proofErr w:type="spellStart"/>
            <w:r>
              <w:rPr>
                <w:sz w:val="20"/>
              </w:rPr>
              <w:t>impartido</w:t>
            </w:r>
            <w:proofErr w:type="spellEnd"/>
            <w:r>
              <w:rPr>
                <w:sz w:val="20"/>
              </w:rPr>
              <w:t xml:space="preserve"> </w:t>
            </w:r>
            <w:proofErr w:type="spellStart"/>
            <w:r>
              <w:rPr>
                <w:sz w:val="20"/>
              </w:rPr>
              <w:t>en</w:t>
            </w:r>
            <w:proofErr w:type="spellEnd"/>
            <w:r>
              <w:rPr>
                <w:sz w:val="20"/>
              </w:rPr>
              <w:t xml:space="preserve"> </w:t>
            </w:r>
            <w:proofErr w:type="spellStart"/>
            <w:r>
              <w:rPr>
                <w:sz w:val="20"/>
              </w:rPr>
              <w:t>UAbierta</w:t>
            </w:r>
            <w:proofErr w:type="spellEnd"/>
            <w:r>
              <w:rPr>
                <w:sz w:val="20"/>
              </w:rPr>
              <w:t xml:space="preserve">, </w:t>
            </w:r>
            <w:proofErr w:type="spellStart"/>
            <w:r>
              <w:rPr>
                <w:sz w:val="20"/>
              </w:rPr>
              <w:t>Universidad</w:t>
            </w:r>
            <w:proofErr w:type="spellEnd"/>
            <w:r>
              <w:rPr>
                <w:sz w:val="20"/>
              </w:rPr>
              <w:t xml:space="preserve"> de Chile, 201</w:t>
            </w:r>
            <w:r>
              <w:rPr>
                <w:sz w:val="20"/>
              </w:rPr>
              <w:t>9.</w:t>
            </w:r>
          </w:p>
          <w:p w14:paraId="50419A6E" w14:textId="77777777" w:rsidR="00E538F7" w:rsidRDefault="00F341E1">
            <w:pPr>
              <w:spacing w:after="0"/>
              <w:ind w:right="830"/>
              <w:jc w:val="center"/>
            </w:pPr>
            <w:r>
              <w:t>121</w:t>
            </w:r>
          </w:p>
        </w:tc>
      </w:tr>
    </w:tbl>
    <w:p w14:paraId="26F31D2A" w14:textId="77777777" w:rsidR="00E538F7" w:rsidRDefault="00F341E1">
      <w:pPr>
        <w:spacing w:after="0"/>
        <w:ind w:left="-1440" w:right="15380"/>
      </w:pPr>
      <w:r>
        <w:lastRenderedPageBreak/>
        <w:br w:type="page"/>
      </w:r>
    </w:p>
    <w:p w14:paraId="57B2A09C" w14:textId="77777777" w:rsidR="00E538F7" w:rsidRDefault="00F341E1">
      <w:pPr>
        <w:spacing w:after="0"/>
        <w:ind w:left="-1440" w:right="15380"/>
      </w:pPr>
      <w:r>
        <w:rPr>
          <w:noProof/>
        </w:rPr>
        <w:lastRenderedPageBreak/>
        <w:drawing>
          <wp:anchor distT="0" distB="0" distL="114300" distR="114300" simplePos="0" relativeHeight="251668480" behindDoc="0" locked="0" layoutInCell="1" allowOverlap="0" wp14:anchorId="7E8D0986" wp14:editId="03B35158">
            <wp:simplePos x="0" y="0"/>
            <wp:positionH relativeFrom="page">
              <wp:posOffset>0</wp:posOffset>
            </wp:positionH>
            <wp:positionV relativeFrom="page">
              <wp:posOffset>0</wp:posOffset>
            </wp:positionV>
            <wp:extent cx="10680700" cy="7556500"/>
            <wp:effectExtent l="0" t="0" r="0" b="0"/>
            <wp:wrapTopAndBottom/>
            <wp:docPr id="73599" name="Picture 73599"/>
            <wp:cNvGraphicFramePr/>
            <a:graphic xmlns:a="http://schemas.openxmlformats.org/drawingml/2006/main">
              <a:graphicData uri="http://schemas.openxmlformats.org/drawingml/2006/picture">
                <pic:pic xmlns:pic="http://schemas.openxmlformats.org/drawingml/2006/picture">
                  <pic:nvPicPr>
                    <pic:cNvPr id="73599" name="Picture 73599"/>
                    <pic:cNvPicPr/>
                  </pic:nvPicPr>
                  <pic:blipFill>
                    <a:blip r:embed="rId26"/>
                    <a:stretch>
                      <a:fillRect/>
                    </a:stretch>
                  </pic:blipFill>
                  <pic:spPr>
                    <a:xfrm>
                      <a:off x="0" y="0"/>
                      <a:ext cx="10680700" cy="7556500"/>
                    </a:xfrm>
                    <a:prstGeom prst="rect">
                      <a:avLst/>
                    </a:prstGeom>
                  </pic:spPr>
                </pic:pic>
              </a:graphicData>
            </a:graphic>
          </wp:anchor>
        </w:drawing>
      </w:r>
    </w:p>
    <w:sectPr w:rsidR="00E538F7">
      <w:footnotePr>
        <w:numRestart w:val="eachPage"/>
      </w:footnotePr>
      <w:type w:val="continuous"/>
      <w:pgSz w:w="16820" w:h="11900" w:orient="landscape"/>
      <w:pgMar w:top="0" w:right="1440" w:bottom="43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D5258" w14:textId="77777777" w:rsidR="00F341E1" w:rsidRDefault="00F341E1">
      <w:pPr>
        <w:spacing w:after="0" w:line="240" w:lineRule="auto"/>
      </w:pPr>
      <w:r>
        <w:separator/>
      </w:r>
    </w:p>
  </w:endnote>
  <w:endnote w:type="continuationSeparator" w:id="0">
    <w:p w14:paraId="6CEE96B3" w14:textId="77777777" w:rsidR="00F341E1" w:rsidRDefault="00F34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8CE83" w14:textId="77777777" w:rsidR="00F341E1" w:rsidRDefault="00F341E1">
      <w:pPr>
        <w:spacing w:after="699" w:line="216" w:lineRule="auto"/>
        <w:ind w:left="194" w:right="728" w:hanging="97"/>
      </w:pPr>
      <w:r>
        <w:separator/>
      </w:r>
    </w:p>
  </w:footnote>
  <w:footnote w:type="continuationSeparator" w:id="0">
    <w:p w14:paraId="50CC83A1" w14:textId="77777777" w:rsidR="00F341E1" w:rsidRDefault="00F341E1">
      <w:pPr>
        <w:spacing w:after="699" w:line="216" w:lineRule="auto"/>
        <w:ind w:left="194" w:right="728" w:hanging="97"/>
      </w:pPr>
      <w:r>
        <w:continuationSeparator/>
      </w:r>
    </w:p>
  </w:footnote>
  <w:footnote w:id="1">
    <w:p w14:paraId="3AB2D84F" w14:textId="77777777" w:rsidR="00E538F7" w:rsidRDefault="00F341E1">
      <w:pPr>
        <w:pStyle w:val="footnotedescription"/>
        <w:spacing w:after="699" w:line="216" w:lineRule="auto"/>
        <w:ind w:left="194" w:right="728" w:hanging="97"/>
      </w:pPr>
      <w:r>
        <w:rPr>
          <w:rStyle w:val="footnotemark"/>
        </w:rPr>
        <w:footnoteRef/>
      </w:r>
      <w:r>
        <w:t xml:space="preserve"> </w:t>
      </w:r>
      <w:r>
        <w:rPr>
          <w:sz w:val="20"/>
        </w:rPr>
        <w:t xml:space="preserve">Este </w:t>
      </w:r>
      <w:r>
        <w:t xml:space="preserve">capítulo </w:t>
      </w:r>
      <w:r>
        <w:rPr>
          <w:sz w:val="22"/>
        </w:rPr>
        <w:t xml:space="preserve">é </w:t>
      </w:r>
      <w:r>
        <w:t xml:space="preserve">uma adaptação do Capítulo </w:t>
      </w:r>
      <w:r>
        <w:rPr>
          <w:sz w:val="22"/>
        </w:rPr>
        <w:t xml:space="preserve">2 </w:t>
      </w:r>
      <w:r>
        <w:t xml:space="preserve">'Nos caminhos </w:t>
      </w:r>
      <w:r>
        <w:rPr>
          <w:sz w:val="20"/>
        </w:rPr>
        <w:t xml:space="preserve">da </w:t>
      </w:r>
      <w:r>
        <w:t xml:space="preserve">interseccionalidade' </w:t>
      </w:r>
      <w:r>
        <w:rPr>
          <w:sz w:val="22"/>
        </w:rPr>
        <w:t xml:space="preserve">da </w:t>
      </w:r>
      <w:r>
        <w:t xml:space="preserve">Dissertação </w:t>
      </w:r>
      <w:r>
        <w:rPr>
          <w:sz w:val="20"/>
        </w:rPr>
        <w:t xml:space="preserve">de </w:t>
      </w:r>
      <w:r>
        <w:t xml:space="preserve">Mestrado </w:t>
      </w:r>
      <w:r>
        <w:rPr>
          <w:sz w:val="20"/>
        </w:rPr>
        <w:t xml:space="preserve">de </w:t>
      </w:r>
      <w:r>
        <w:t xml:space="preserve">Wesley </w:t>
      </w:r>
      <w:r>
        <w:rPr>
          <w:sz w:val="20"/>
        </w:rPr>
        <w:t xml:space="preserve">Sousa </w:t>
      </w:r>
      <w:r>
        <w:t>Rodrigues, orientada pelo</w:t>
      </w:r>
    </w:p>
    <w:p w14:paraId="7A2119D9" w14:textId="77777777" w:rsidR="00E538F7" w:rsidRDefault="00F341E1">
      <w:pPr>
        <w:pStyle w:val="footnotedescription"/>
        <w:ind w:left="2724"/>
      </w:pPr>
      <w:r>
        <w:rPr>
          <w:rFonts w:ascii="Times New Roman" w:eastAsia="Times New Roman" w:hAnsi="Times New Roman" w:cs="Times New Roman"/>
          <w:sz w:val="20"/>
        </w:rPr>
        <w:t>107</w:t>
      </w:r>
    </w:p>
    <w:p w14:paraId="62E9A127" w14:textId="77777777" w:rsidR="00E538F7" w:rsidRDefault="00F341E1">
      <w:pPr>
        <w:pStyle w:val="footnotedescription"/>
        <w:spacing w:after="0"/>
        <w:ind w:left="0"/>
        <w:jc w:val="right"/>
      </w:pPr>
      <w:r>
        <w:rPr>
          <w:rFonts w:ascii="Times New Roman" w:eastAsia="Times New Roman" w:hAnsi="Times New Roman" w:cs="Times New Roman"/>
          <w:sz w:val="40"/>
        </w:rPr>
        <w:t>1</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8F7"/>
    <w:rsid w:val="00B27638"/>
    <w:rsid w:val="00E538F7"/>
    <w:rsid w:val="00F341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950FB"/>
  <w15:docId w15:val="{3D325002-33B6-4CD6-992B-CE1D1BE57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tulo1">
    <w:name w:val="heading 1"/>
    <w:next w:val="Normal"/>
    <w:link w:val="Ttulo1Char"/>
    <w:uiPriority w:val="9"/>
    <w:qFormat/>
    <w:pPr>
      <w:keepNext/>
      <w:keepLines/>
      <w:spacing w:after="11" w:line="216" w:lineRule="auto"/>
      <w:ind w:left="351" w:firstLine="255"/>
      <w:outlineLvl w:val="0"/>
    </w:pPr>
    <w:rPr>
      <w:rFonts w:ascii="Calibri" w:eastAsia="Calibri" w:hAnsi="Calibri" w:cs="Calibri"/>
      <w:color w:val="000000"/>
      <w:sz w:val="3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Calibri" w:eastAsia="Calibri" w:hAnsi="Calibri" w:cs="Calibri"/>
      <w:color w:val="000000"/>
      <w:sz w:val="30"/>
    </w:rPr>
  </w:style>
  <w:style w:type="paragraph" w:customStyle="1" w:styleId="footnotedescription">
    <w:name w:val="footnote description"/>
    <w:next w:val="Normal"/>
    <w:link w:val="footnotedescriptionChar"/>
    <w:hidden/>
    <w:pPr>
      <w:spacing w:after="411"/>
      <w:ind w:left="97"/>
    </w:pPr>
    <w:rPr>
      <w:rFonts w:ascii="Calibri" w:eastAsia="Calibri" w:hAnsi="Calibri" w:cs="Calibri"/>
      <w:color w:val="000000"/>
      <w:sz w:val="18"/>
    </w:rPr>
  </w:style>
  <w:style w:type="character" w:customStyle="1" w:styleId="footnotedescriptionChar">
    <w:name w:val="footnote description Char"/>
    <w:link w:val="footnotedescription"/>
    <w:rPr>
      <w:rFonts w:ascii="Calibri" w:eastAsia="Calibri" w:hAnsi="Calibri" w:cs="Calibri"/>
      <w:color w:val="000000"/>
      <w:sz w:val="18"/>
    </w:rPr>
  </w:style>
  <w:style w:type="character" w:customStyle="1" w:styleId="footnotemark">
    <w:name w:val="footnote mark"/>
    <w:hidden/>
    <w:rPr>
      <w:rFonts w:ascii="Calibri" w:eastAsia="Calibri" w:hAnsi="Calibri" w:cs="Calibri"/>
      <w:color w:val="000000"/>
      <w:sz w:val="12"/>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webSettings" Target="webSettings.xml"/><Relationship Id="rId21" Type="http://schemas.openxmlformats.org/officeDocument/2006/relationships/image" Target="media/image15.jpg"/><Relationship Id="rId7" Type="http://schemas.openxmlformats.org/officeDocument/2006/relationships/image" Target="media/image2.jpg"/><Relationship Id="rId12" Type="http://schemas.openxmlformats.org/officeDocument/2006/relationships/image" Target="media/image227.jp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ettings" Target="setting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8.jpg"/><Relationship Id="rId5"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image" Target="media/image13.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3616</Words>
  <Characters>19527</Characters>
  <Application>Microsoft Office Word</Application>
  <DocSecurity>0</DocSecurity>
  <Lines>162</Lines>
  <Paragraphs>46</Paragraphs>
  <ScaleCrop>false</ScaleCrop>
  <Company/>
  <LinksUpToDate>false</LinksUpToDate>
  <CharactersWithSpaces>23097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Sergio Rodrigues</dc:creator>
  <cp:keywords/>
  <cp:lastModifiedBy>Paulo Sergio Rodrigues</cp:lastModifiedBy>
  <cp:revision>2</cp:revision>
  <dcterms:created xsi:type="dcterms:W3CDTF">2022-02-09T00:57:00Z</dcterms:created>
  <dcterms:modified xsi:type="dcterms:W3CDTF">2022-02-09T00:57:00Z</dcterms:modified>
</cp:coreProperties>
</file>