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L波段天基雷达对卫星导航接收机</w:t>
      </w:r>
      <w:r>
        <w:t xml:space="preserve"> </w:t>
      </w:r>
      <w:r>
        <w:rPr>
          <w:rFonts w:hint="eastAsia"/>
        </w:rPr>
        <w:t xml:space="preserve">详细干扰分析实施方案</w:t>
      </w:r>
    </w:p>
    <w:p>
      <w:pPr>
        <w:pStyle w:val="Subtitle"/>
      </w:pPr>
      <w:r>
        <w:rPr>
          <w:rFonts w:hint="eastAsia"/>
        </w:rPr>
        <w:t xml:space="preserve">从初步劣化比计算到动态兼容性评估与接收机验证</w:t>
      </w:r>
    </w:p>
    <w:p>
      <w:pPr>
        <w:pStyle w:val="Author"/>
      </w:pPr>
      <w:r>
        <w:rPr>
          <w:rFonts w:hint="eastAsia"/>
        </w:rPr>
        <w:t xml:space="preserve">技术资料整理</w:t>
      </w:r>
    </w:p>
    <w:p>
      <w:pPr>
        <w:pStyle w:val="Date"/>
      </w:pPr>
      <w:r>
        <w:rPr>
          <w:rFonts w:hint="eastAsia"/>
        </w:rPr>
        <w:t xml:space="preserve">2026年10月23日</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使用说明与阅读导引"/>
    <w:p>
      <w:pPr>
        <w:pStyle w:val="Heading1"/>
      </w:pPr>
      <w:r>
        <w:rPr>
          <w:rFonts w:hint="eastAsia"/>
        </w:rPr>
        <w:t xml:space="preserve">使用说明与阅读导引</w:t>
      </w:r>
    </w:p>
    <w:p>
      <w:pPr>
        <w:pStyle w:val="FirstParagraph"/>
      </w:pPr>
      <w:r>
        <w:rPr>
          <w:rFonts w:hint="eastAsia"/>
        </w:rPr>
        <w:t xml:space="preserve">本文件将前述详细分析方案整理为可编辑的技术文档。研究对象为天基雷达发射对地面、船载及机载RNSS/GNSS用户接收机的非故意射频干扰，重点围绕1215–1300</w:t>
      </w:r>
      <w:r>
        <w:t xml:space="preserve"> </w:t>
      </w:r>
      <w:r>
        <w:rPr>
          <w:rFonts w:hint="eastAsia"/>
        </w:rPr>
        <w:t xml:space="preserve">MHz；相邻频段应按实际发射谱和受扰通道另行检查。本文是</w:t>
      </w:r>
      <w:r>
        <w:rPr>
          <w:rFonts w:hint="eastAsia"/>
          <w:b/>
          <w:bCs/>
        </w:rPr>
        <w:t xml:space="preserve">分析实施方案，不是已完成的项目兼容性评估报告</w:t>
      </w:r>
      <w:r>
        <w:rPr>
          <w:rFonts w:hint="eastAsia"/>
        </w:rPr>
        <w:t xml:space="preserve">，不包含任何真实项目的保密参数，也不宣称已经完成轨道仿真或接收机试验。</w:t>
      </w:r>
    </w:p>
    <w:p>
      <w:pPr>
        <w:pStyle w:val="BodyText"/>
      </w:pPr>
      <w:r>
        <w:rPr>
          <w:rFonts w:hint="eastAsia"/>
          <w:b/>
          <w:bCs/>
        </w:rPr>
        <w:t xml:space="preserve">核心认识：详细分析不一定更换“劣化比”这个判据，而是将初评的代表性参数、持续最坏照射和理想滤波等假设，替换为可追溯的实际参数、动态过程和经过验证的接收机响应。</w:t>
      </w:r>
      <w:r>
        <w:t xml:space="preserve"> </w:t>
      </w:r>
      <w:r>
        <w:rPr>
          <w:rFonts w:hint="eastAsia"/>
        </w:rPr>
        <w:t xml:space="preserve">RS.2165-0做出建议3、4规定了详评触发条件及参与要求，并仍引用相应允许劣化比。[R1]</w:t>
      </w:r>
    </w:p>
    <w:p>
      <w:pPr>
        <w:pStyle w:val="BodyText"/>
      </w:pPr>
      <w:r>
        <w:rPr>
          <w:rFonts w:hint="eastAsia"/>
        </w:rPr>
        <w:t xml:space="preserve">本文的三类内容明确区分如下：</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tcW w:type="dxa" w:w="4706"/>
            <w:tcMar>
              <w:top w:w="85" w:type="dxa"/>
              <w:left w:w="85" w:type="dxa"/>
              <w:bottom w:w="85" w:type="dxa"/>
              <w:right w:w="85" w:type="dxa"/>
            </w:tcMar>
            <w:shd w:fill="E9EFF6"/>
          </w:tcPr>
          <w:p>
            <w:pPr>
              <w:pStyle w:val="Compact"/>
              <w:spacing w:line="269" w:lineRule="auto" w:after="40"/>
            </w:pPr>
            <w:r>
              <w:rPr>
                <w:rFonts w:hint="eastAsia"/>
                <w:b/>
                <w:sz w:val="18"/>
              </w:rPr>
              <w:t xml:space="preserve">内容类型</w:t>
            </w:r>
          </w:p>
        </w:tc>
        <w:tc>
          <w:tcPr>
            <w:tcW w:type="dxa" w:w="4706"/>
            <w:tcMar>
              <w:top w:w="85" w:type="dxa"/>
              <w:left w:w="85" w:type="dxa"/>
              <w:bottom w:w="85" w:type="dxa"/>
              <w:right w:w="85" w:type="dxa"/>
            </w:tcMar>
            <w:shd w:fill="E9EFF6"/>
          </w:tcPr>
          <w:p>
            <w:pPr>
              <w:pStyle w:val="Compact"/>
              <w:spacing w:line="269" w:lineRule="auto" w:after="40"/>
            </w:pPr>
            <w:r>
              <w:rPr>
                <w:rFonts w:hint="eastAsia"/>
                <w:b/>
                <w:sz w:val="18"/>
              </w:rPr>
              <w:t xml:space="preserve">标识与使用方式</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文献原有方法与要求</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用[R1]–[R7]标明来源及章节，不扩展其适用范围</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工程实施补充</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坐标实现、数据管理、事件区间算法、收敛检查、试验组织等，是本方案综合设计，不声称为ITU逐条强制规定</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说明性假设算例</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明确标为“演示假设”；不能代替真实设备或实测结果</w:t>
            </w:r>
          </w:p>
        </w:tc>
      </w:tr>
    </w:tbl>
    <w:p>
      <w:pPr>
        <w:pStyle w:val="BodyText"/>
      </w:pPr>
      <w:r>
        <w:rPr>
          <w:rFonts w:hint="eastAsia"/>
        </w:rPr>
        <w:t xml:space="preserve">正文按“范围与准则—参数—参考面—动态几何—波形耦合—接收机响应—多源聚合—验证—判定”展开。第14章延续0.387</w:t>
      </w:r>
      <w:r>
        <w:t xml:space="preserve"> </w:t>
      </w:r>
      <w:r>
        <w:rPr>
          <w:rFonts w:hint="eastAsia"/>
        </w:rPr>
        <w:t xml:space="preserve">dB的SAR5—SBAS初评案例，说明怎样正确推进详评；最后提供原文定位和交付物清单。另附的论文检索导读属于本次外部文献检索，与本方案的标准依据分开。</w:t>
      </w:r>
    </w:p>
    <w:bookmarkEnd w:id="19"/>
    <w:bookmarkStart w:id="23" w:name="详细分析究竟比初步分析多做什么"/>
    <w:p>
      <w:pPr>
        <w:pStyle w:val="Heading1"/>
      </w:pPr>
      <w:r>
        <w:t xml:space="preserve">1　</w:t>
      </w:r>
      <w:r>
        <w:rPr>
          <w:rFonts w:hint="eastAsia"/>
        </w:rPr>
        <w:t xml:space="preserve">详细分析究竟比初步分析多做什么</w:t>
      </w:r>
    </w:p>
    <w:bookmarkStart w:id="20" w:name="初评回答有没有潜在风险"/>
    <w:p>
      <w:pPr>
        <w:pStyle w:val="Heading2"/>
      </w:pPr>
      <w:r>
        <w:t xml:space="preserve">1.1　</w:t>
      </w:r>
      <w:r>
        <w:rPr>
          <w:rFonts w:hint="eastAsia"/>
        </w:rPr>
        <w:t xml:space="preserve">初评回答“有没有潜在风险”</w:t>
      </w:r>
    </w:p>
    <w:p>
      <w:pPr>
        <w:pStyle w:val="FirstParagraph"/>
      </w:pPr>
      <w:r>
        <w:rPr>
          <w:rFonts w:hint="eastAsia"/>
        </w:rPr>
        <w:t xml:space="preserve">RS.2537-0附件2第3.1节的代表性算例先求最坏峰值干扰，再假定在一段名义时间内每个SAR脉冲都足以使接收机饱和，随后求有效脉冲占空比及劣化比。但报告同时说明，通常应结合轨道仿真、卫星辐射方向图和RNSS接收天线方向图，求实际接收峰值功率的时间历程。[R2，正文第23页/PDF第25页]</w:t>
      </w:r>
    </w:p>
    <w:p>
      <w:pPr>
        <w:pStyle w:val="BodyText"/>
      </w:pPr>
      <w:r>
        <w:rPr>
          <w:rFonts w:hint="eastAsia"/>
        </w:rPr>
        <w:t xml:space="preserve">所以，初评超限表示在所用假设下不能排除不可接受干扰，需要进一步核实；它不是对所有实际条件下共存不可行的证明。</w:t>
      </w:r>
    </w:p>
    <w:bookmarkEnd w:id="20"/>
    <w:bookmarkStart w:id="21" w:name="详评回答实际会怎样证据是否充分"/>
    <w:p>
      <w:pPr>
        <w:pStyle w:val="Heading2"/>
      </w:pPr>
      <w:r>
        <w:t xml:space="preserve">1.2　</w:t>
      </w:r>
      <w:r>
        <w:rPr>
          <w:rFonts w:hint="eastAsia"/>
        </w:rPr>
        <w:t xml:space="preserve">详评回答“实际会怎样，证据是否充分”</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问题</w:t>
            </w:r>
          </w:p>
        </w:tc>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初评常见处理</w:t>
            </w:r>
          </w:p>
        </w:tc>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详评应补充的内容</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何时受扰</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持续最坏照射</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星历、发射时段、扫描驻留、模式切换与到达时序</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输入多强</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固定斜距和最大增益</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双端动态方向增益、传播和极化</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收到什么波形</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理想矩形谱或带宽重叠</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实测发射谱、滤波幅相响应和瞬态响应</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哪一级先受限</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一个输入饱和门限</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LNA、变频、IF、AGC和ADC分级检查</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每脉冲影响多久</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固定有效脉宽和恢复时间</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过阈区间、状态恢复、重叠和记忆效应</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多源如何作用</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单源或独立统计聚合</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同时可见、相关时序、联合输入和非线性</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导航功能如何变化</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等效噪声劣化</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捕获、跟踪、观测量、定位与恢复</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结论多可靠</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单一确定值</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不确定度、模型误差、数值收敛和试验</w:t>
            </w:r>
          </w:p>
        </w:tc>
      </w:tr>
    </w:tbl>
    <w:p>
      <w:pPr>
        <w:pStyle w:val="BodyText"/>
      </w:pPr>
      <w:r>
        <w:rPr>
          <w:rFonts w:hint="eastAsia"/>
        </w:rPr>
        <w:t xml:space="preserve">详细程度来自建模和证据，不是增加几个计算公式。</w:t>
      </w:r>
    </w:p>
    <w:bookmarkEnd w:id="21"/>
    <w:bookmarkStart w:id="22" w:name="详评不是为了把超限算成合格"/>
    <w:p>
      <w:pPr>
        <w:pStyle w:val="Heading2"/>
      </w:pPr>
      <w:r>
        <w:t xml:space="preserve">1.3　</w:t>
      </w:r>
      <w:r>
        <w:rPr>
          <w:rFonts w:hint="eastAsia"/>
        </w:rPr>
        <w:t xml:space="preserve">详评不是为了把超限“算成合格”</w:t>
      </w:r>
    </w:p>
    <w:p>
      <w:pPr>
        <w:pStyle w:val="FirstParagraph"/>
      </w:pPr>
      <w:r>
        <w:rPr>
          <w:rFonts w:hint="eastAsia"/>
        </w:rPr>
        <w:t xml:space="preserve">应允许三种结果：实际参数消除了可证明的过度保守性后满足准则；更真实的模型仍超限，需要修改运行条件；或者名义值满足但证据、参数精度或模型可靠性不足，暂不能判定通过。</w:t>
      </w:r>
    </w:p>
    <w:p>
      <w:pPr>
        <w:pStyle w:val="BodyText"/>
      </w:pPr>
      <w:r>
        <w:rPr>
          <w:rFonts w:hint="eastAsia"/>
        </w:rPr>
        <w:t xml:space="preserve">不能因希望共存就选用较小恢复时间、较低旁瓣或较宽容接收机模型。每次替换初评假设，都应列明新证据及其适用范围。</w:t>
      </w:r>
    </w:p>
    <w:bookmarkEnd w:id="22"/>
    <w:bookmarkEnd w:id="23"/>
    <w:bookmarkStart w:id="27" w:name="适用范围和分析边界"/>
    <w:p>
      <w:pPr>
        <w:pStyle w:val="Heading1"/>
      </w:pPr>
      <w:r>
        <w:t xml:space="preserve">2　</w:t>
      </w:r>
      <w:r>
        <w:rPr>
          <w:rFonts w:hint="eastAsia"/>
        </w:rPr>
        <w:t xml:space="preserve">适用范围和分析边界</w:t>
      </w:r>
    </w:p>
    <w:bookmarkStart w:id="24" w:name="受扰对象在哪里"/>
    <w:p>
      <w:pPr>
        <w:pStyle w:val="Heading2"/>
      </w:pPr>
      <w:r>
        <w:t xml:space="preserve">2.1　</w:t>
      </w:r>
      <w:r>
        <w:rPr>
          <w:rFonts w:hint="eastAsia"/>
        </w:rPr>
        <w:t xml:space="preserve">受扰对象在哪里</w:t>
      </w:r>
    </w:p>
    <w:p>
      <w:pPr>
        <w:pStyle w:val="FirstParagraph"/>
      </w:pPr>
      <w:r>
        <w:rPr>
          <w:rFonts w:hint="eastAsia"/>
        </w:rPr>
        <w:t xml:space="preserve">本方案默认分析天基雷达发射到地面或机载GNSS用户接收机的直达干扰。机载场景需要飞行轨迹、姿态、安装天线和遮挡条件。星上GNSS、同平台自干扰或导航卫星的其他接收链路应单独建模。</w:t>
      </w:r>
    </w:p>
    <w:p>
      <w:pPr>
        <w:pStyle w:val="BodyText"/>
      </w:pPr>
      <w:r>
        <w:rPr>
          <w:rFonts w:hint="eastAsia"/>
        </w:rPr>
        <w:t xml:space="preserve">RS.2537-0和RS.2165-0均说明，相关方法的应用尚未针对航天器上的RNSS空对空接收机完成评估。因此不能把地面接收机算例直接当作星上兼容性结论。[R1，Scope；R2，Scope]</w:t>
      </w:r>
    </w:p>
    <w:bookmarkEnd w:id="24"/>
    <w:bookmarkStart w:id="25" w:name="天基对空雷达不等于对地成像sar"/>
    <w:p>
      <w:pPr>
        <w:pStyle w:val="Heading2"/>
      </w:pPr>
      <w:r>
        <w:t xml:space="preserve">2.2　</w:t>
      </w:r>
      <w:r>
        <w:rPr>
          <w:rFonts w:hint="eastAsia"/>
        </w:rPr>
        <w:t xml:space="preserve">天基对空雷达不等于对地成像SAR</w:t>
      </w:r>
    </w:p>
    <w:p>
      <w:pPr>
        <w:pStyle w:val="FirstParagraph"/>
      </w:pPr>
      <w:r>
        <w:rPr>
          <w:rFonts w:hint="eastAsia"/>
        </w:rPr>
        <w:t xml:space="preserve">M.2030面向非RNSS相关无线电源的脉冲干扰，接收机侧分析思想不限于SAR；RS.2537则是EESS有源SAR的具体初评示例。[R2][R3]</w:t>
      </w:r>
    </w:p>
    <w:p>
      <w:pPr>
        <w:pStyle w:val="BodyText"/>
      </w:pPr>
      <w:r>
        <w:rPr>
          <w:rFonts w:hint="eastAsia"/>
        </w:rPr>
        <w:t xml:space="preserve">可借鉴“发射源—传播路径—接收机响应—性能判定”的框架，但应采用实际雷达的轨道、波束、脉组、跳频、驻留与发射时序。不得直接照搬SAR示例的工作参数或共存结论。采用某种技术分析方法也不自动确定无线电业务归属或授予频率使用权。</w:t>
      </w:r>
    </w:p>
    <w:bookmarkEnd w:id="25"/>
    <w:bookmarkStart w:id="26" w:name="直达干扰不是目标回波"/>
    <w:p>
      <w:pPr>
        <w:pStyle w:val="Heading2"/>
      </w:pPr>
      <w:r>
        <w:t xml:space="preserve">2.3　</w:t>
      </w:r>
      <w:r>
        <w:rPr>
          <w:rFonts w:hint="eastAsia"/>
        </w:rPr>
        <w:t xml:space="preserve">直达干扰不是目标回波</w:t>
      </w:r>
    </w:p>
    <w:p>
      <w:pPr>
        <w:pStyle w:val="FirstParagraph"/>
      </w:pPr>
      <w:r>
        <w:rPr>
          <w:rFonts w:hint="eastAsia"/>
        </w:rPr>
        <w:t xml:space="preserve">主要路径为：雷达发射天线→导航接收天线。有用信号来自导航卫星，而不是该雷达的飞机目标回波。因此，不要将飞机RCS、目标两程回波损耗或雷达自身的脉压增益放入该直达干扰预算。只有另行研究反射散射干扰时，才为相应路径引入散射模型。</w:t>
      </w:r>
    </w:p>
    <w:p>
      <w:pPr>
        <w:pStyle w:val="BodyText"/>
      </w:pPr>
      <w:r>
        <w:rPr>
          <w:rFonts w:hint="eastAsia"/>
        </w:rPr>
        <w:t xml:space="preserve">雷达接收处理增益不会自动保护另一台GNSS接收机。</w:t>
      </w:r>
    </w:p>
    <w:bookmarkEnd w:id="26"/>
    <w:bookmarkEnd w:id="27"/>
    <w:bookmarkStart w:id="31" w:name="先建立评估约定再开展计算"/>
    <w:p>
      <w:pPr>
        <w:pStyle w:val="Heading1"/>
      </w:pPr>
      <w:r>
        <w:t xml:space="preserve">3　</w:t>
      </w:r>
      <w:r>
        <w:rPr>
          <w:rFonts w:hint="eastAsia"/>
        </w:rPr>
        <w:t xml:space="preserve">先建立评估约定，再开展计算</w:t>
      </w:r>
    </w:p>
    <w:p>
      <w:pPr>
        <w:pStyle w:val="FirstParagraph"/>
      </w:pPr>
      <w:r>
        <w:rPr>
          <w:rFonts w:hint="eastAsia"/>
        </w:rPr>
        <w:t xml:space="preserve">本章为工程实施组织建议。依据是RS.2165要求详评考虑真实运行参数、详细接收机特性及相关主管部门参与。[R1，做出建议3、4]</w:t>
      </w:r>
    </w:p>
    <w:bookmarkStart w:id="28" w:name="固定研究对象"/>
    <w:p>
      <w:pPr>
        <w:pStyle w:val="Heading2"/>
      </w:pPr>
      <w:r>
        <w:t xml:space="preserve">3.1　</w:t>
      </w:r>
      <w:r>
        <w:rPr>
          <w:rFonts w:hint="eastAsia"/>
        </w:rPr>
        <w:t xml:space="preserve">固定研究对象</w:t>
      </w:r>
    </w:p>
    <w:p>
      <w:pPr>
        <w:pStyle w:val="FirstParagraph"/>
      </w:pPr>
      <w:r>
        <w:rPr>
          <w:rFonts w:hint="eastAsia"/>
        </w:rPr>
        <w:t xml:space="preserve">对每个场景建立唯一编号，例如“雷达模式R03—接收机G02—信号C01—空间场景S05”。记录软件、硬件和参数版本，避免不同章节悄悄替换滤波器、接收机类型、恢复时间或基线。</w:t>
      </w:r>
    </w:p>
    <w:bookmarkEnd w:id="28"/>
    <w:bookmarkStart w:id="29" w:name="建立保护准则表"/>
    <w:p>
      <w:pPr>
        <w:pStyle w:val="Heading2"/>
      </w:pPr>
      <w:r>
        <w:t xml:space="preserve">3.2　</w:t>
      </w:r>
      <w:r>
        <w:rPr>
          <w:rFonts w:hint="eastAsia"/>
        </w:rPr>
        <w:t xml:space="preserve">建立保护准则表</w:t>
      </w:r>
    </w:p>
    <w:tbl>
      <w:tblPr>
        <w:tblStyle w:val="Table"/>
        <w:tblW w:type="auto" w:w="0"/>
        <w:tblLayout w:type="fixed"/>
        <w:tblLook w:firstRow="1" w:lastRow="0" w:firstColumn="0" w:lastColumn="0" w:noHBand="0" w:noVBand="0" w:val="0020"/>
      </w:tblPr>
      <w:tblGrid>
        <w:gridCol w:w="3960"/>
        <w:gridCol w:w="3960"/>
      </w:tblGrid>
      <w:tr>
        <w:trPr>
          <w:tblHeader w:val="on"/>
          <w:cantSplit/>
          <w:tblHeader/>
        </w:trPr>
        <w:tc>
          <w:tcPr>
            <w:tcW w:type="dxa" w:w="4706"/>
            <w:tcMar>
              <w:top w:w="85" w:type="dxa"/>
              <w:left w:w="85" w:type="dxa"/>
              <w:bottom w:w="85" w:type="dxa"/>
              <w:right w:w="85" w:type="dxa"/>
            </w:tcMar>
            <w:shd w:fill="E9EFF6"/>
          </w:tcPr>
          <w:p>
            <w:pPr>
              <w:pStyle w:val="Compact"/>
              <w:spacing w:line="269" w:lineRule="auto" w:after="40"/>
            </w:pPr>
            <w:r>
              <w:rPr>
                <w:rFonts w:hint="eastAsia"/>
                <w:b/>
                <w:sz w:val="18"/>
              </w:rPr>
              <w:t xml:space="preserve">字段</w:t>
            </w:r>
          </w:p>
        </w:tc>
        <w:tc>
          <w:tcPr>
            <w:tcW w:type="dxa" w:w="4706"/>
            <w:tcMar>
              <w:top w:w="85" w:type="dxa"/>
              <w:left w:w="85" w:type="dxa"/>
              <w:bottom w:w="85" w:type="dxa"/>
              <w:right w:w="85" w:type="dxa"/>
            </w:tcMar>
            <w:shd w:fill="E9EFF6"/>
          </w:tcPr>
          <w:p>
            <w:pPr>
              <w:pStyle w:val="Compact"/>
              <w:spacing w:line="269" w:lineRule="auto" w:after="40"/>
            </w:pPr>
            <w:r>
              <w:rPr>
                <w:rFonts w:hint="eastAsia"/>
                <w:b/>
                <w:sz w:val="18"/>
              </w:rPr>
              <w:t xml:space="preserve">需要确认的内容</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信号和通道</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导航系统、信号分量、中心频率和接收通道</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设备用途</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地面参考、高精度、航空或其他具体应用</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工作状态</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初次捕获、稳定跟踪、失锁后重捕获</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判据</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新增劣化限值、连续干扰限制、前端生存与动态范围</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来源</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标准具体表项、设备规范、试验或共同确认</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时间条件</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所需观察窗口、平均方式、瞬态与持续要求</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适用范围</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接收架构、处理方式、环境及未覆盖条件</w:t>
            </w:r>
          </w:p>
        </w:tc>
      </w:tr>
    </w:tbl>
    <w:p>
      <w:pPr>
        <w:pStyle w:val="BodyText"/>
      </w:pPr>
      <w:r>
        <w:t xml:space="preserve">0.1 dB、0.2 </w:t>
      </w:r>
      <w:r>
        <w:rPr>
          <w:rFonts w:hint="eastAsia"/>
        </w:rPr>
        <w:t xml:space="preserve">dB不是所有GNSS接收机的统一门限。M.2030表2给出的是所列具体类型的代表参数及新增干扰预算，并说明未列出的接收机类型仍需确定参数。[R3，附件1表2]</w:t>
      </w:r>
    </w:p>
    <w:bookmarkEnd w:id="29"/>
    <w:bookmarkStart w:id="30" w:name="事先固定判定规则"/>
    <w:p>
      <w:pPr>
        <w:pStyle w:val="Heading2"/>
      </w:pPr>
      <w:r>
        <w:t xml:space="preserve">3.3　</w:t>
      </w:r>
      <w:r>
        <w:rPr>
          <w:rFonts w:hint="eastAsia"/>
        </w:rPr>
        <w:t xml:space="preserve">事先固定判定规则</w:t>
      </w:r>
    </w:p>
    <w:p>
      <w:pPr>
        <w:pStyle w:val="FirstParagraph"/>
      </w:pPr>
      <w:r>
        <w:rPr>
          <w:rFonts w:hint="eastAsia"/>
        </w:rPr>
        <w:t xml:space="preserve">在获得结果前确定必须覆盖的场景、模型验证范围、不确定度处理、统计分母和试验升级条件。不能在结果超限后临时拉长平均时间或改变判据。</w:t>
      </w:r>
    </w:p>
    <w:p>
      <w:pPr>
        <w:pStyle w:val="BodyText"/>
      </w:pPr>
      <w:r>
        <w:rPr>
          <w:rFonts w:hint="eastAsia"/>
          <w:b/>
          <w:bCs/>
        </w:rPr>
        <w:t xml:space="preserve">交付物：评估范围与保护准则确认表。</w:t>
      </w:r>
    </w:p>
    <w:bookmarkEnd w:id="30"/>
    <w:bookmarkEnd w:id="31"/>
    <w:bookmarkStart w:id="35" w:name="真实输入数据与可信度管理"/>
    <w:p>
      <w:pPr>
        <w:pStyle w:val="Heading1"/>
      </w:pPr>
      <w:r>
        <w:t xml:space="preserve">4　</w:t>
      </w:r>
      <w:r>
        <w:rPr>
          <w:rFonts w:hint="eastAsia"/>
        </w:rPr>
        <w:t xml:space="preserve">真实输入数据与可信度管理</w:t>
      </w:r>
    </w:p>
    <w:bookmarkStart w:id="32" w:name="雷达侧参数"/>
    <w:p>
      <w:pPr>
        <w:pStyle w:val="Heading2"/>
      </w:pPr>
      <w:r>
        <w:t xml:space="preserve">4.1　</w:t>
      </w:r>
      <w:r>
        <w:rPr>
          <w:rFonts w:hint="eastAsia"/>
        </w:rPr>
        <w:t xml:space="preserve">雷达侧参数</w:t>
      </w:r>
    </w:p>
    <w:tbl>
      <w:tblPr>
        <w:tblStyle w:val="Table"/>
        <w:tblW w:type="auto" w:w="0"/>
        <w:tblLayout w:type="fixed"/>
        <w:tblLook w:firstRow="1" w:lastRow="0" w:firstColumn="0" w:lastColumn="0" w:noHBand="0" w:noVBand="0" w:val="0020"/>
      </w:tblPr>
      <w:tblGrid>
        <w:gridCol w:w="2640"/>
        <w:gridCol w:w="2640"/>
        <w:gridCol w:w="2640"/>
      </w:tblGrid>
      <w:tr>
        <w:trPr>
          <w:tblHeader w:val="on"/>
          <w:cantSplit/>
          <w:tblHeader/>
        </w:trPr>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类别</w:t>
            </w:r>
          </w:p>
        </w:tc>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具体数据</w:t>
            </w:r>
          </w:p>
        </w:tc>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用途</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轨道与姿态</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星历、坐标系、时间基准、姿态、指向误差</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动态几何</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发射功率</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峰值、模式间变化、脉间噪声、误差</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峰值及连续干扰</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波形与时序</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中心频率、脉宽、PRF、脉组、跳频、调制</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接收波形重建</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实际发射谱</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主谱、谱肩、杂散、功放谱再生</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同频及邻频分析</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天线</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三维方向图、扫描角与频率依赖、极化</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动态增益及极化耦合</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任务运行</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工作时段、开关机、驻留、重访、模式切换</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照射事件</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多系统</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同时运行的其他卫星、约束和调度</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聚合评估</w:t>
            </w:r>
          </w:p>
        </w:tc>
      </w:tr>
    </w:tbl>
    <w:p>
      <w:pPr>
        <w:pStyle w:val="BodyText"/>
      </w:pPr>
      <w:r>
        <w:rPr>
          <w:rFonts w:hint="eastAsia"/>
        </w:rPr>
        <w:t xml:space="preserve">不得把不同模式中的最大峰值功率、最大脉宽、最高PRF、最大带宽拼成并不存在的“典型系统”。保守包络可以用于筛查，但应明确它不是实际工作模式。</w:t>
      </w:r>
    </w:p>
    <w:bookmarkEnd w:id="32"/>
    <w:bookmarkStart w:id="33" w:name="接收机侧参数"/>
    <w:p>
      <w:pPr>
        <w:pStyle w:val="Heading2"/>
      </w:pPr>
      <w:r>
        <w:t xml:space="preserve">4.2　</w:t>
      </w:r>
      <w:r>
        <w:rPr>
          <w:rFonts w:hint="eastAsia"/>
        </w:rPr>
        <w:t xml:space="preserve">接收机侧参数</w:t>
      </w:r>
    </w:p>
    <w:tbl>
      <w:tblPr>
        <w:tblStyle w:val="Table"/>
        <w:tblW w:type="auto" w:w="0"/>
        <w:tblLayout w:type="fixed"/>
        <w:tblLook w:firstRow="1" w:lastRow="0" w:firstColumn="0" w:lastColumn="0" w:noHBand="0" w:noVBand="0" w:val="0020"/>
      </w:tblPr>
      <w:tblGrid>
        <w:gridCol w:w="3960"/>
        <w:gridCol w:w="3960"/>
      </w:tblGrid>
      <w:tr>
        <w:trPr>
          <w:tblHeader w:val="on"/>
          <w:cantSplit/>
          <w:tblHeader/>
        </w:trPr>
        <w:tc>
          <w:tcPr>
            <w:tcW w:type="dxa" w:w="4706"/>
            <w:tcMar>
              <w:top w:w="85" w:type="dxa"/>
              <w:left w:w="85" w:type="dxa"/>
              <w:bottom w:w="85" w:type="dxa"/>
              <w:right w:w="85" w:type="dxa"/>
            </w:tcMar>
            <w:shd w:fill="E9EFF6"/>
          </w:tcPr>
          <w:p>
            <w:pPr>
              <w:pStyle w:val="Compact"/>
              <w:spacing w:line="269" w:lineRule="auto" w:after="40"/>
            </w:pPr>
            <w:r>
              <w:rPr>
                <w:rFonts w:hint="eastAsia"/>
                <w:b/>
                <w:sz w:val="18"/>
              </w:rPr>
              <w:t xml:space="preserve">参数</w:t>
            </w:r>
          </w:p>
        </w:tc>
        <w:tc>
          <w:tcPr>
            <w:tcW w:type="dxa" w:w="4706"/>
            <w:tcMar>
              <w:top w:w="85" w:type="dxa"/>
              <w:left w:w="85" w:type="dxa"/>
              <w:bottom w:w="85" w:type="dxa"/>
              <w:right w:w="85" w:type="dxa"/>
            </w:tcMar>
            <w:shd w:fill="E9EFF6"/>
          </w:tcPr>
          <w:p>
            <w:pPr>
              <w:pStyle w:val="Compact"/>
              <w:spacing w:line="269" w:lineRule="auto" w:after="40"/>
            </w:pPr>
            <w:r>
              <w:rPr>
                <w:rFonts w:hint="eastAsia"/>
                <w:b/>
                <w:sz w:val="18"/>
              </w:rPr>
              <w:t xml:space="preserve">作用与注意事项</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天线方向图、安装与姿态</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决定到达角依赖的耦合；机体遮挡需实证</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RF/IF滤波幅相响应</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决定各级输入和脉冲振铃，而非只有3</w:t>
            </w:r>
            <w:r>
              <w:rPr>
                <w:sz w:val="18"/>
              </w:rPr>
              <w:t xml:space="preserve"> </w:t>
            </w:r>
            <w:r>
              <w:rPr>
                <w:rFonts w:hint="eastAsia"/>
                <w:sz w:val="18"/>
              </w:rPr>
              <w:t xml:space="preserve">dB带宽</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生存电平</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判断损坏风险，注明峰值/平均定义</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饱和、阻塞和压缩特性</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对应具体参考面、频率、波形与状态</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AGC、ADC和脉冲消隐</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决定增益调整、削顶和信号丢失</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恢复时间与恢复轨迹</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可能随输入强度、波形和前状态变化</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捕获及跟踪参数</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积分时间、环路更新和工作状态</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噪声与基线干扰</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构造新增前的统一比较基准</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输出及平滑方式</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防止低速输出掩盖短时影响</w:t>
            </w:r>
          </w:p>
        </w:tc>
      </w:tr>
    </w:tbl>
    <w:p>
      <w:pPr>
        <w:pStyle w:val="BodyText"/>
      </w:pPr>
      <w:r>
        <w:rPr>
          <w:rFonts w:hint="eastAsia"/>
        </w:rPr>
        <w:t xml:space="preserve">M.2496说明接收机输入饱和电平与AGC、ADC、中频实现等有关，不能仅按类型统一假定，应采用恰当的实测或可靠设备数据。[R6]</w:t>
      </w:r>
    </w:p>
    <w:bookmarkEnd w:id="33"/>
    <w:bookmarkStart w:id="34" w:name="每项参数注明来源"/>
    <w:p>
      <w:pPr>
        <w:pStyle w:val="Heading2"/>
      </w:pPr>
      <w:r>
        <w:t xml:space="preserve">4.3　</w:t>
      </w:r>
      <w:r>
        <w:rPr>
          <w:rFonts w:hint="eastAsia"/>
        </w:rPr>
        <w:t xml:space="preserve">每项参数注明来源</w:t>
      </w:r>
    </w:p>
    <w:p>
      <w:pPr>
        <w:pStyle w:val="FirstParagraph"/>
      </w:pPr>
      <w:r>
        <w:rPr>
          <w:rFonts w:hint="eastAsia"/>
        </w:rPr>
        <w:t xml:space="preserve">建议统一为“实测、设备保证、ITU代表值、工程假设”四级，分别记录来源、版本、误差、适用模式和待确认项。假设可以用于敏感性研究，但最终不得改写成已测得性能。</w:t>
      </w:r>
    </w:p>
    <w:p>
      <w:pPr>
        <w:pStyle w:val="BodyText"/>
      </w:pPr>
      <w:r>
        <w:rPr>
          <w:rFonts w:hint="eastAsia"/>
          <w:b/>
          <w:bCs/>
        </w:rPr>
        <w:t xml:space="preserve">交付物：参数基线表、参数缺口和不确定度清单。</w:t>
      </w:r>
    </w:p>
    <w:bookmarkEnd w:id="34"/>
    <w:bookmarkEnd w:id="35"/>
    <w:bookmarkStart w:id="38" w:name="统一功率参考面与前端检查"/>
    <w:p>
      <w:pPr>
        <w:pStyle w:val="Heading1"/>
      </w:pPr>
      <w:r>
        <w:t xml:space="preserve">5　</w:t>
      </w:r>
      <w:r>
        <w:rPr>
          <w:rFonts w:hint="eastAsia"/>
        </w:rPr>
        <w:t xml:space="preserve">统一功率参考面与前端检查</w:t>
      </w:r>
    </w:p>
    <w:bookmarkStart w:id="36" w:name="建立接收链路参考面"/>
    <w:p>
      <w:pPr>
        <w:pStyle w:val="Heading2"/>
      </w:pPr>
      <w:r>
        <w:t xml:space="preserve">5.1　</w:t>
      </w:r>
      <w:r>
        <w:rPr>
          <w:rFonts w:hint="eastAsia"/>
        </w:rPr>
        <w:t xml:space="preserve">建立接收链路参考面</w:t>
      </w:r>
    </w:p>
    <w:p>
      <w:pPr>
        <w:pStyle w:val="FirstParagraph"/>
      </w:pPr>
      <w:r>
        <w:rPr>
          <w:rFonts w:hint="eastAsia"/>
        </w:rPr>
        <w:t xml:space="preserve">建议按实际设备框图至少区分：</w:t>
      </w:r>
    </w:p>
    <w:tbl>
      <w:tblPr>
        <w:tblStyle w:val="Table"/>
        <w:tblW w:type="auto" w:w="0"/>
        <w:tblLayout w:type="fixed"/>
        <w:tblLook w:firstRow="1" w:lastRow="0" w:firstColumn="0" w:lastColumn="0" w:noHBand="0" w:noVBand="0" w:val="0020"/>
      </w:tblPr>
      <w:tblGrid>
        <w:gridCol w:w="2640"/>
        <w:gridCol w:w="2640"/>
        <w:gridCol w:w="2640"/>
      </w:tblGrid>
      <w:tr>
        <w:trPr>
          <w:tblHeader w:val="on"/>
          <w:cantSplit/>
          <w:tblHeader/>
        </w:trPr>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参考面</w:t>
            </w:r>
          </w:p>
        </w:tc>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示例位置</w:t>
            </w:r>
          </w:p>
        </w:tc>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对应检查</w:t>
            </w:r>
          </w:p>
        </w:tc>
      </w:tr>
      <w:tr>
        <w:trPr>
          <w:cantSplit/>
        </w:trPr>
        <w:tc>
          <w:tcPr>
            <w:tcW w:type="dxa" w:w="3137"/>
            <w:tcMar>
              <w:top w:w="85" w:type="dxa"/>
              <w:left w:w="85" w:type="dxa"/>
              <w:bottom w:w="85" w:type="dxa"/>
              <w:right w:w="85" w:type="dxa"/>
            </w:tcMar>
          </w:tcPr>
          <w:p>
            <w:pPr>
              <w:pStyle w:val="Compact"/>
              <w:spacing w:line="269" w:lineRule="auto" w:after="40"/>
            </w:pPr>
            <w:r>
              <w:rPr>
                <w:sz w:val="18"/>
              </w:rPr>
              <w:t xml:space="preserve">P0</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无源接收天线输出</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传播耦合、标准参数参考</w:t>
            </w:r>
          </w:p>
        </w:tc>
      </w:tr>
      <w:tr>
        <w:trPr>
          <w:cantSplit/>
        </w:trPr>
        <w:tc>
          <w:tcPr>
            <w:tcW w:type="dxa" w:w="3137"/>
            <w:tcMar>
              <w:top w:w="85" w:type="dxa"/>
              <w:left w:w="85" w:type="dxa"/>
              <w:bottom w:w="85" w:type="dxa"/>
              <w:right w:w="85" w:type="dxa"/>
            </w:tcMar>
          </w:tcPr>
          <w:p>
            <w:pPr>
              <w:pStyle w:val="Compact"/>
              <w:spacing w:line="269" w:lineRule="auto" w:after="40"/>
            </w:pPr>
            <w:r>
              <w:rPr>
                <w:sz w:val="18"/>
              </w:rPr>
              <w:t xml:space="preserve">P1</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LNA输入</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生存、压缩及阻塞</w:t>
            </w:r>
          </w:p>
        </w:tc>
      </w:tr>
      <w:tr>
        <w:trPr>
          <w:cantSplit/>
        </w:trPr>
        <w:tc>
          <w:tcPr>
            <w:tcW w:type="dxa" w:w="3137"/>
            <w:tcMar>
              <w:top w:w="85" w:type="dxa"/>
              <w:left w:w="85" w:type="dxa"/>
              <w:bottom w:w="85" w:type="dxa"/>
              <w:right w:w="85" w:type="dxa"/>
            </w:tcMar>
          </w:tcPr>
          <w:p>
            <w:pPr>
              <w:pStyle w:val="Compact"/>
              <w:spacing w:line="269" w:lineRule="auto" w:after="40"/>
            </w:pPr>
            <w:r>
              <w:rPr>
                <w:sz w:val="18"/>
              </w:rPr>
              <w:t xml:space="preserve">P2</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变频或IF节点</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级联增益、混频及选择性</w:t>
            </w:r>
          </w:p>
        </w:tc>
      </w:tr>
      <w:tr>
        <w:trPr>
          <w:cantSplit/>
        </w:trPr>
        <w:tc>
          <w:tcPr>
            <w:tcW w:type="dxa" w:w="3137"/>
            <w:tcMar>
              <w:top w:w="85" w:type="dxa"/>
              <w:left w:w="85" w:type="dxa"/>
              <w:bottom w:w="85" w:type="dxa"/>
              <w:right w:w="85" w:type="dxa"/>
            </w:tcMar>
          </w:tcPr>
          <w:p>
            <w:pPr>
              <w:pStyle w:val="Compact"/>
              <w:spacing w:line="269" w:lineRule="auto" w:after="40"/>
            </w:pPr>
            <w:r>
              <w:rPr>
                <w:sz w:val="18"/>
              </w:rPr>
              <w:t xml:space="preserve">P3</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ADC输入</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满量程、削顶、AGC工作点</w:t>
            </w:r>
          </w:p>
        </w:tc>
      </w:tr>
      <w:tr>
        <w:trPr>
          <w:cantSplit/>
        </w:trPr>
        <w:tc>
          <w:tcPr>
            <w:tcW w:type="dxa" w:w="3137"/>
            <w:tcMar>
              <w:top w:w="85" w:type="dxa"/>
              <w:left w:w="85" w:type="dxa"/>
              <w:bottom w:w="85" w:type="dxa"/>
              <w:right w:w="85" w:type="dxa"/>
            </w:tcMar>
          </w:tcPr>
          <w:p>
            <w:pPr>
              <w:pStyle w:val="Compact"/>
              <w:spacing w:line="269" w:lineRule="auto" w:after="40"/>
            </w:pPr>
            <w:r>
              <w:rPr>
                <w:sz w:val="18"/>
              </w:rPr>
              <w:t xml:space="preserve">P4</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数字预相关输入</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消隐、残余干扰和相关处理</w:t>
            </w:r>
          </w:p>
        </w:tc>
      </w:tr>
    </w:tbl>
    <w:p>
      <w:pPr>
        <w:pStyle w:val="BodyText"/>
      </w:pPr>
      <w:r>
        <w:rPr>
          <w:rFonts w:hint="eastAsia"/>
        </w:rPr>
        <w:t xml:space="preserve">同一干扰在各级功率不同，门限也不同。若参考门限在LNA输入，就必须与LNA输入的相应功率比较。不能用后级IF滤波的抑制去证明前级LNA不过载。[R6]</w:t>
      </w:r>
    </w:p>
    <w:bookmarkEnd w:id="36"/>
    <w:bookmarkStart w:id="37" w:name="三项检查分开做"/>
    <w:p>
      <w:pPr>
        <w:pStyle w:val="Heading2"/>
      </w:pPr>
      <w:r>
        <w:t xml:space="preserve">5.2　</w:t>
      </w:r>
      <w:r>
        <w:rPr>
          <w:rFonts w:hint="eastAsia"/>
        </w:rPr>
        <w:t xml:space="preserve">三项检查分开做</w:t>
      </w:r>
    </w:p>
    <w:p>
      <w:pPr>
        <w:pStyle w:val="FirstParagraph"/>
      </w:pPr>
      <w:r>
        <w:rPr>
          <w:rFonts w:hint="eastAsia"/>
        </w:rPr>
        <w:t xml:space="preserve">生存性检查回答器件会否损坏；动态范围检查回答压缩、削顶、阻塞及恢复异常；导航性能检查回答捕获、跟踪和观测量是否满足要求。无损坏不等于合格，保持位置输出也不等于新增干扰预算满足。</w:t>
      </w:r>
    </w:p>
    <w:p>
      <w:pPr>
        <w:pStyle w:val="BodyText"/>
      </w:pPr>
      <w:r>
        <w:rPr>
          <w:rFonts w:hint="eastAsia"/>
        </w:rPr>
        <w:t xml:space="preserve">初评可以用保守的无滤波峰值预算筛查；详评若计入某段滤波衰减，必须证明该滤波位于所检查器件之前，且适用于相关频率和瞬态条件。[R2，附件1</w:t>
      </w:r>
      <w:r>
        <w:t xml:space="preserve"> </w:t>
      </w:r>
      <w:r>
        <w:rPr>
          <w:rFonts w:hint="eastAsia"/>
        </w:rPr>
        <w:t xml:space="preserve">§4.1；R6]</w:t>
      </w:r>
    </w:p>
    <w:p>
      <w:pPr>
        <w:pStyle w:val="BodyText"/>
      </w:pPr>
      <w:r>
        <w:rPr>
          <w:rFonts w:hint="eastAsia"/>
          <w:b/>
          <w:bCs/>
        </w:rPr>
        <w:t xml:space="preserve">交付物：参考面图、增益/损耗链与门限对应表。</w:t>
      </w:r>
    </w:p>
    <w:bookmarkEnd w:id="37"/>
    <w:bookmarkEnd w:id="38"/>
    <w:bookmarkStart w:id="44" w:name="轨道姿态波束动态耦合"/>
    <w:p>
      <w:pPr>
        <w:pStyle w:val="Heading1"/>
      </w:pPr>
      <w:r>
        <w:t xml:space="preserve">6　</w:t>
      </w:r>
      <w:r>
        <w:rPr>
          <w:rFonts w:hint="eastAsia"/>
        </w:rPr>
        <w:t xml:space="preserve">轨道—姿态—波束动态耦合</w:t>
      </w:r>
    </w:p>
    <w:p>
      <w:pPr>
        <w:pStyle w:val="FirstParagraph"/>
      </w:pPr>
      <w:r>
        <w:rPr>
          <w:rFonts w:hint="eastAsia"/>
        </w:rPr>
        <w:t xml:space="preserve">本章公式是标准物理关系的工程实现表达，不是ITU新增门限。</w:t>
      </w:r>
    </w:p>
    <w:bookmarkStart w:id="39" w:name="统一坐标和时间"/>
    <w:p>
      <w:pPr>
        <w:pStyle w:val="Heading2"/>
      </w:pPr>
      <w:r>
        <w:t xml:space="preserve">6.1　</w:t>
      </w:r>
      <w:r>
        <w:rPr>
          <w:rFonts w:hint="eastAsia"/>
        </w:rPr>
        <w:t xml:space="preserve">统一坐标和时间</w:t>
      </w:r>
    </w:p>
    <w:p>
      <w:pPr>
        <w:pStyle w:val="FirstParagraph"/>
      </w:pPr>
      <w:r>
        <w:rPr>
          <w:rFonts w:hint="eastAsia"/>
        </w:rPr>
        <w:t xml:space="preserve">设雷达与导航接收机位置为</w:t>
      </w:r>
      <w:r>
        <w:t xml:space="preserve"> </w:t>
      </w:r>
      <m:oMath>
        <m:sSub>
          <m:e>
            <m:r>
              <m:rPr>
                <m:sty m:val="bi"/>
              </m:rPr>
              <m:t>r</m:t>
            </m:r>
          </m:e>
          <m:sub>
            <m:r>
              <m:t>T</m:t>
            </m:r>
          </m:sub>
        </m:sSub>
        <m:r>
          <m:rPr>
            <m:sty m:val="p"/>
          </m:rPr>
          <m:t>(</m:t>
        </m:r>
        <m:r>
          <m:t>t</m:t>
        </m:r>
        <m:r>
          <m:rPr>
            <m:sty m:val="p"/>
          </m:rPr>
          <m:t>)</m:t>
        </m:r>
      </m:oMath>
      <w:r>
        <w:t xml:space="preserve">、</w:t>
      </w:r>
      <m:oMath>
        <m:sSub>
          <m:e>
            <m:r>
              <m:rPr>
                <m:sty m:val="bi"/>
              </m:rPr>
              <m:t>r</m:t>
            </m:r>
          </m:e>
          <m:sub>
            <m:r>
              <m:t>R</m:t>
            </m:r>
          </m:sub>
        </m:sSub>
        <m:r>
          <m:rPr>
            <m:sty m:val="p"/>
          </m:rPr>
          <m:t>(</m:t>
        </m:r>
        <m:r>
          <m:t>t</m:t>
        </m:r>
        <m:r>
          <m:rPr>
            <m:sty m:val="p"/>
          </m:rPr>
          <m:t>)</m:t>
        </m:r>
      </m:oMath>
      <w:r>
        <w:rPr>
          <w:rFonts w:hint="eastAsia"/>
        </w:rPr>
        <w:t xml:space="preserve">，则</w:t>
      </w:r>
    </w:p>
    <w:p>
      <w:pPr>
        <w:pStyle w:val="BodyText"/>
      </w:pPr>
      <m:oMathPara>
        <m:oMathParaPr>
          <m:jc m:val="center"/>
        </m:oMathParaPr>
        <m:oMath>
          <m:r>
            <m:t>R</m:t>
          </m:r>
          <m:r>
            <m:rPr>
              <m:sty m:val="p"/>
            </m:rPr>
            <m:t>(</m:t>
          </m:r>
          <m:r>
            <m:t>t</m:t>
          </m:r>
          <m:r>
            <m:rPr>
              <m:sty m:val="p"/>
            </m:rPr>
            <m:t>)</m:t>
          </m:r>
          <m:r>
            <m:rPr>
              <m:sty m:val="p"/>
            </m:rPr>
            <m:t>=</m:t>
          </m:r>
          <m:r>
            <m:rPr>
              <m:sty m:val="p"/>
            </m:rPr>
            <m:t>∥</m:t>
          </m:r>
          <m:sSub>
            <m:e>
              <m:r>
                <m:rPr>
                  <m:sty m:val="bi"/>
                </m:rPr>
                <m:t>r</m:t>
              </m:r>
            </m:e>
            <m:sub>
              <m:r>
                <m:t>R</m:t>
              </m:r>
            </m:sub>
          </m:sSub>
          <m:r>
            <m:rPr>
              <m:sty m:val="p"/>
            </m:rPr>
            <m:t>(</m:t>
          </m:r>
          <m:r>
            <m:t>t</m:t>
          </m:r>
          <m:r>
            <m:rPr>
              <m:sty m:val="p"/>
            </m:rPr>
            <m:t>)</m:t>
          </m:r>
          <m:r>
            <m:rPr>
              <m:sty m:val="p"/>
            </m:rPr>
            <m:t>−</m:t>
          </m:r>
          <m:sSub>
            <m:e>
              <m:r>
                <m:rPr>
                  <m:sty m:val="bi"/>
                </m:rPr>
                <m:t>r</m:t>
              </m:r>
            </m:e>
            <m:sub>
              <m:r>
                <m:t>T</m:t>
              </m:r>
            </m:sub>
          </m:sSub>
          <m:r>
            <m:rPr>
              <m:sty m:val="p"/>
            </m:rPr>
            <m:t>(</m:t>
          </m:r>
          <m:r>
            <m:t>t</m:t>
          </m:r>
          <m:r>
            <m:rPr>
              <m:sty m:val="p"/>
            </m:rPr>
            <m:t>)</m:t>
          </m:r>
          <m:r>
            <m:rPr>
              <m:sty m:val="p"/>
            </m:rPr>
            <m:t>∥</m:t>
          </m:r>
        </m:oMath>
      </m:oMathPara>
    </w:p>
    <w:p>
      <w:pPr>
        <w:pStyle w:val="FirstParagraph"/>
      </w:pPr>
      <m:oMathPara>
        <m:oMathParaPr>
          <m:jc m:val="center"/>
        </m:oMathParaPr>
        <m:oMath>
          <m:sSub>
            <m:e>
              <m:r>
                <m:rPr>
                  <m:sty m:val="bi"/>
                </m:rPr>
                <m:t>u</m:t>
              </m:r>
            </m:e>
            <m:sub>
              <m:r>
                <m:t>T</m:t>
              </m:r>
            </m:sub>
          </m:sSub>
          <m:r>
            <m:rPr>
              <m:sty m:val="p"/>
            </m:rPr>
            <m:t>(</m:t>
          </m:r>
          <m:r>
            <m:t>t</m:t>
          </m:r>
          <m:r>
            <m:rPr>
              <m:sty m:val="p"/>
            </m:rPr>
            <m:t>)</m:t>
          </m:r>
          <m:r>
            <m:rPr>
              <m:sty m:val="p"/>
            </m:rPr>
            <m:t>=</m:t>
          </m:r>
          <m:f>
            <m:fPr>
              <m:type m:val="bar"/>
            </m:fPr>
            <m:num>
              <m:sSub>
                <m:e>
                  <m:r>
                    <m:rPr>
                      <m:sty m:val="bi"/>
                    </m:rPr>
                    <m:t>r</m:t>
                  </m:r>
                </m:e>
                <m:sub>
                  <m:r>
                    <m:t>R</m:t>
                  </m:r>
                </m:sub>
              </m:sSub>
              <m:r>
                <m:rPr>
                  <m:sty m:val="p"/>
                </m:rPr>
                <m:t>(</m:t>
              </m:r>
              <m:r>
                <m:t>t</m:t>
              </m:r>
              <m:r>
                <m:rPr>
                  <m:sty m:val="p"/>
                </m:rPr>
                <m:t>)</m:t>
              </m:r>
              <m:r>
                <m:rPr>
                  <m:sty m:val="p"/>
                </m:rPr>
                <m:t>−</m:t>
              </m:r>
              <m:sSub>
                <m:e>
                  <m:r>
                    <m:rPr>
                      <m:sty m:val="bi"/>
                    </m:rPr>
                    <m:t>r</m:t>
                  </m:r>
                </m:e>
                <m:sub>
                  <m:r>
                    <m:t>T</m:t>
                  </m:r>
                </m:sub>
              </m:sSub>
              <m:r>
                <m:rPr>
                  <m:sty m:val="p"/>
                </m:rPr>
                <m:t>(</m:t>
              </m:r>
              <m:r>
                <m:t>t</m:t>
              </m:r>
              <m:r>
                <m:rPr>
                  <m:sty m:val="p"/>
                </m:rPr>
                <m:t>)</m:t>
              </m:r>
            </m:num>
            <m:den>
              <m:r>
                <m:t>R</m:t>
              </m:r>
              <m:r>
                <m:rPr>
                  <m:sty m:val="p"/>
                </m:rPr>
                <m:t>(</m:t>
              </m:r>
              <m:r>
                <m:t>t</m:t>
              </m:r>
              <m:r>
                <m:rPr>
                  <m:sty m:val="p"/>
                </m:rPr>
                <m:t>)</m:t>
              </m:r>
            </m:den>
          </m:f>
          <m:r>
            <m:rPr>
              <m:sty m:val="p"/>
            </m:rPr>
            <m:t>.</m:t>
          </m:r>
        </m:oMath>
      </m:oMathPara>
    </w:p>
    <w:p>
      <w:pPr>
        <w:pStyle w:val="FirstParagraph"/>
      </w:pPr>
      <w:r>
        <w:rPr>
          <w:rFonts w:hint="eastAsia"/>
        </w:rPr>
        <w:t xml:space="preserve">把视线向量转换到发射天线本体坐标，结合波束指向求离轴角；将反方向转换到接收天线坐标求接收增益。注明地心坐标、地固坐标、当地坐标及姿态旋转约定。不能把地心角直接代入本体方向图。</w:t>
      </w:r>
    </w:p>
    <w:p>
      <w:pPr>
        <w:pStyle w:val="BodyText"/>
      </w:pPr>
      <w:r>
        <w:rPr>
          <w:rFonts w:hint="eastAsia"/>
        </w:rPr>
        <w:t xml:space="preserve">机载接收机应传播自身轨迹和姿态。使用多个卫星时统一发射时刻与接收时刻的基准；对脉冲时序精细计算，应考虑传播时延对到达时刻的影响。</w:t>
      </w:r>
    </w:p>
    <w:bookmarkEnd w:id="39"/>
    <w:bookmarkStart w:id="40" w:name="动态峰值链路预算"/>
    <w:p>
      <w:pPr>
        <w:pStyle w:val="Heading2"/>
      </w:pPr>
      <w:r>
        <w:t xml:space="preserve">6.2　</w:t>
      </w:r>
      <w:r>
        <w:rPr>
          <w:rFonts w:hint="eastAsia"/>
        </w:rPr>
        <w:t xml:space="preserve">动态峰值链路预算</w:t>
      </w:r>
    </w:p>
    <w:p>
      <w:pPr>
        <w:pStyle w:val="FirstParagraph"/>
      </w:pPr>
      <w:r>
        <w:rPr>
          <w:rFonts w:hint="eastAsia"/>
        </w:rPr>
        <w:t xml:space="preserve">当各项定义一致时：</w:t>
      </w:r>
    </w:p>
    <w:p>
      <w:pPr>
        <w:pStyle w:val="BodyText"/>
      </w:pPr>
      <m:oMathPara>
        <m:oMathParaPr>
          <m:jc m:val="center"/>
        </m:oMathParaPr>
        <m:oMath>
          <m:sSub>
            <m:e>
              <m:r>
                <m:t>P</m:t>
              </m:r>
            </m:e>
            <m:sub>
              <m:r>
                <m:t>r</m:t>
              </m:r>
              <m:r>
                <m:rPr>
                  <m:sty m:val="p"/>
                </m:rPr>
                <m:t>,</m:t>
              </m:r>
              <m:r>
                <m:rPr>
                  <m:sty m:val="p"/>
                </m:rPr>
                <m:t>p</m:t>
              </m:r>
              <m:r>
                <m:rPr>
                  <m:sty m:val="p"/>
                </m:rPr>
                <m:t>k</m:t>
              </m:r>
            </m:sub>
          </m:sSub>
          <m:r>
            <m:rPr>
              <m:sty m:val="p"/>
            </m:rPr>
            <m:t>(</m:t>
          </m:r>
          <m:r>
            <m:t>t</m:t>
          </m:r>
          <m:r>
            <m:rPr>
              <m:sty m:val="p"/>
            </m:rPr>
            <m:t>)</m:t>
          </m:r>
          <m:r>
            <m:rPr>
              <m:sty m:val="p"/>
            </m:rPr>
            <m:t>=</m:t>
          </m:r>
          <m:sSub>
            <m:e>
              <m:r>
                <m:t>P</m:t>
              </m:r>
            </m:e>
            <m:sub>
              <m:r>
                <m:t>t</m:t>
              </m:r>
              <m:r>
                <m:rPr>
                  <m:sty m:val="p"/>
                </m:rPr>
                <m:t>,</m:t>
              </m:r>
              <m:r>
                <m:rPr>
                  <m:sty m:val="p"/>
                </m:rPr>
                <m:t>p</m:t>
              </m:r>
              <m:r>
                <m:rPr>
                  <m:sty m:val="p"/>
                </m:rPr>
                <m:t>k</m:t>
              </m:r>
            </m:sub>
          </m:sSub>
          <m:r>
            <m:rPr>
              <m:sty m:val="p"/>
            </m:rPr>
            <m:t>(</m:t>
          </m:r>
          <m:r>
            <m:t>t</m:t>
          </m:r>
          <m:r>
            <m:rPr>
              <m:sty m:val="p"/>
            </m:rPr>
            <m:t>)</m:t>
          </m:r>
          <m:r>
            <m:rPr>
              <m:sty m:val="p"/>
            </m:rPr>
            <m:t>+</m:t>
          </m:r>
          <m:sSub>
            <m:e>
              <m:r>
                <m:t>G</m:t>
              </m:r>
            </m:e>
            <m:sub>
              <m:r>
                <m:t>t</m:t>
              </m:r>
            </m:sub>
          </m:sSub>
          <m:r>
            <m:rPr>
              <m:sty m:val="p"/>
            </m:rPr>
            <m:t>(</m:t>
          </m:r>
          <m:r>
            <m:t>t</m:t>
          </m:r>
          <m:r>
            <m:rPr>
              <m:sty m:val="p"/>
            </m:rPr>
            <m:t>)</m:t>
          </m:r>
          <m:r>
            <m:rPr>
              <m:sty m:val="p"/>
            </m:rPr>
            <m:t>+</m:t>
          </m:r>
          <m:sSub>
            <m:e>
              <m:r>
                <m:t>G</m:t>
              </m:r>
            </m:e>
            <m:sub>
              <m:r>
                <m:t>r</m:t>
              </m:r>
            </m:sub>
          </m:sSub>
          <m:r>
            <m:rPr>
              <m:sty m:val="p"/>
            </m:rPr>
            <m:t>(</m:t>
          </m:r>
          <m:r>
            <m:t>t</m:t>
          </m:r>
          <m:r>
            <m:rPr>
              <m:sty m:val="p"/>
            </m:rPr>
            <m:t>)</m:t>
          </m:r>
          <m:r>
            <m:rPr>
              <m:sty m:val="p"/>
            </m:rPr>
            <m:t>−</m:t>
          </m:r>
          <m:sSub>
            <m:e>
              <m:r>
                <m:t>L</m:t>
              </m:r>
            </m:e>
            <m:sub>
              <m:r>
                <m:rPr>
                  <m:sty m:val="p"/>
                </m:rPr>
                <m:t>p</m:t>
              </m:r>
              <m:r>
                <m:rPr>
                  <m:sty m:val="p"/>
                </m:rPr>
                <m:t>r</m:t>
              </m:r>
              <m:r>
                <m:rPr>
                  <m:sty m:val="p"/>
                </m:rPr>
                <m:t>o</m:t>
              </m:r>
              <m:r>
                <m:rPr>
                  <m:sty m:val="p"/>
                </m:rPr>
                <m:t>p</m:t>
              </m:r>
            </m:sub>
          </m:sSub>
          <m:r>
            <m:rPr>
              <m:sty m:val="p"/>
            </m:rPr>
            <m:t>(</m:t>
          </m:r>
          <m:r>
            <m:t>t</m:t>
          </m:r>
          <m:r>
            <m:rPr>
              <m:sty m:val="p"/>
            </m:rPr>
            <m:t>)</m:t>
          </m:r>
          <m:r>
            <m:rPr>
              <m:sty m:val="p"/>
            </m:rPr>
            <m:t>−</m:t>
          </m:r>
          <m:sSub>
            <m:e>
              <m:r>
                <m:t>L</m:t>
              </m:r>
            </m:e>
            <m:sub>
              <m:r>
                <m:rPr>
                  <m:sty m:val="p"/>
                </m:rPr>
                <m:t>p</m:t>
              </m:r>
              <m:r>
                <m:rPr>
                  <m:sty m:val="p"/>
                </m:rPr>
                <m:t>o</m:t>
              </m:r>
              <m:r>
                <m:rPr>
                  <m:sty m:val="p"/>
                </m:rPr>
                <m:t>l</m:t>
              </m:r>
            </m:sub>
          </m:sSub>
          <m:r>
            <m:rPr>
              <m:sty m:val="p"/>
            </m:rPr>
            <m:t>(</m:t>
          </m:r>
          <m:r>
            <m:t>t</m:t>
          </m:r>
          <m:r>
            <m:rPr>
              <m:sty m:val="p"/>
            </m:rPr>
            <m:t>)</m:t>
          </m:r>
          <m:r>
            <m:rPr>
              <m:sty m:val="p"/>
            </m:rPr>
            <m:t>−</m:t>
          </m:r>
          <m:sSub>
            <m:e>
              <m:r>
                <m:t>L</m:t>
              </m:r>
            </m:e>
            <m:sub>
              <m:r>
                <m:rPr>
                  <m:sty m:val="p"/>
                </m:rPr>
                <m:t>m</m:t>
              </m:r>
              <m:r>
                <m:rPr>
                  <m:sty m:val="p"/>
                </m:rPr>
                <m:t>i</m:t>
              </m:r>
              <m:r>
                <m:rPr>
                  <m:sty m:val="p"/>
                </m:rPr>
                <m:t>s</m:t>
              </m:r>
              <m:r>
                <m:rPr>
                  <m:sty m:val="p"/>
                </m:rPr>
                <m:t>c</m:t>
              </m:r>
            </m:sub>
          </m:sSub>
          <m:r>
            <m:rPr>
              <m:sty m:val="p"/>
            </m:rPr>
            <m:t>(</m:t>
          </m:r>
          <m:r>
            <m:t>t</m:t>
          </m:r>
          <m:r>
            <m:rPr>
              <m:sty m:val="p"/>
            </m:rPr>
            <m:t>)</m:t>
          </m:r>
          <m:r>
            <m:rPr>
              <m:sty m:val="p"/>
            </m:rPr>
            <m:t>.</m:t>
          </m:r>
        </m:oMath>
      </m:oMathPara>
    </w:p>
    <w:p>
      <w:pPr>
        <w:pStyle w:val="FirstParagraph"/>
      </w:pPr>
      <w:r>
        <w:rPr>
          <w:rFonts w:hint="eastAsia"/>
        </w:rPr>
        <w:t xml:space="preserve">功率以dBW表示，增益以dBi表示，损耗以dB表示。自由空间项为</w:t>
      </w:r>
    </w:p>
    <w:p>
      <w:pPr>
        <w:pStyle w:val="BodyText"/>
      </w:pPr>
      <m:oMathPara>
        <m:oMathParaPr>
          <m:jc m:val="center"/>
        </m:oMathParaPr>
        <m:oMath>
          <m:sSub>
            <m:e>
              <m:r>
                <m:t>L</m:t>
              </m:r>
            </m:e>
            <m:sub>
              <m:r>
                <m:rPr>
                  <m:sty m:val="p"/>
                </m:rPr>
                <m:t>f</m:t>
              </m:r>
              <m:r>
                <m:rPr>
                  <m:sty m:val="p"/>
                </m:rPr>
                <m:t>s</m:t>
              </m:r>
            </m:sub>
          </m:sSub>
          <m:r>
            <m:rPr>
              <m:sty m:val="p"/>
            </m:rPr>
            <m:t>(</m:t>
          </m:r>
          <m:r>
            <m:t>t</m:t>
          </m:r>
          <m:r>
            <m:rPr>
              <m:sty m:val="p"/>
            </m:rPr>
            <m:t>)</m:t>
          </m:r>
          <m:r>
            <m:rPr>
              <m:sty m:val="p"/>
            </m:rPr>
            <m:t>=</m:t>
          </m:r>
          <m:r>
            <m:t>20</m:t>
          </m:r>
          <m:sSub>
            <m:e>
              <m:r>
                <m:rPr>
                  <m:sty m:val="p"/>
                </m:rPr>
                <m:t>log</m:t>
              </m:r>
            </m:e>
            <m:sub>
              <m:r>
                <m:t>10</m:t>
              </m:r>
            </m:sub>
          </m:sSub>
          <m:r>
            <m:t>​</m:t>
          </m:r>
          <m:d>
            <m:dPr>
              <m:begChr m:val="("/>
              <m:sepChr m:val=""/>
              <m:endChr m:val=")"/>
              <m:grow/>
            </m:dPr>
            <m:e>
              <m:f>
                <m:fPr>
                  <m:type m:val="bar"/>
                </m:fPr>
                <m:num>
                  <m:r>
                    <m:t>4</m:t>
                  </m:r>
                  <m:r>
                    <m:t>π</m:t>
                  </m:r>
                  <m:r>
                    <m:t>R</m:t>
                  </m:r>
                  <m:r>
                    <m:rPr>
                      <m:sty m:val="p"/>
                    </m:rPr>
                    <m:t>(</m:t>
                  </m:r>
                  <m:r>
                    <m:t>t</m:t>
                  </m:r>
                  <m:r>
                    <m:rPr>
                      <m:sty m:val="p"/>
                    </m:rPr>
                    <m:t>)</m:t>
                  </m:r>
                  <m:r>
                    <m:t>f</m:t>
                  </m:r>
                </m:num>
                <m:den>
                  <m:r>
                    <m:t>c</m:t>
                  </m:r>
                </m:den>
              </m:f>
            </m:e>
          </m:d>
          <m:r>
            <m:rPr>
              <m:sty m:val="p"/>
            </m:rPr>
            <m:t>.</m:t>
          </m:r>
        </m:oMath>
      </m:oMathPara>
    </w:p>
    <w:p>
      <w:pPr>
        <w:pStyle w:val="FirstParagraph"/>
      </w:pPr>
      <w:r>
        <w:rPr>
          <w:rFonts w:hint="eastAsia"/>
        </w:rPr>
        <w:t xml:space="preserve">已使用方向相关EIRP时，不再重复加发射增益。频率、距离及单位必须一致。附加传播和遮挡项应有来源，不用无依据损耗来抵消超限。</w:t>
      </w:r>
    </w:p>
    <w:bookmarkEnd w:id="40"/>
    <w:bookmarkStart w:id="41" w:name="实际发射状态与旁瓣"/>
    <w:p>
      <w:pPr>
        <w:pStyle w:val="Heading2"/>
      </w:pPr>
      <w:r>
        <w:t xml:space="preserve">6.3　</w:t>
      </w:r>
      <w:r>
        <w:rPr>
          <w:rFonts w:hint="eastAsia"/>
        </w:rPr>
        <w:t xml:space="preserve">实际发射状态与旁瓣</w:t>
      </w:r>
    </w:p>
    <w:p>
      <w:pPr>
        <w:pStyle w:val="FirstParagraph"/>
      </w:pPr>
      <w:r>
        <w:rPr>
          <w:rFonts w:hint="eastAsia"/>
        </w:rPr>
        <w:t xml:space="preserve">区分卫星可见但不发射、工作模式变化、主瓣扫过、旁瓣/后瓣耦合、跳频与脉组间歇。主瓣离开并不必然低于接收机门限；应保留门限以上的全部受扰区间。</w:t>
      </w:r>
    </w:p>
    <w:p>
      <w:pPr>
        <w:pStyle w:val="BodyText"/>
      </w:pPr>
      <w:r>
        <w:rPr>
          <w:rFonts w:hint="eastAsia"/>
        </w:rPr>
        <w:t xml:space="preserve">RS.2537所说的动态分析正是要得到实际功率时间历程，而不是把全天固定成最大增益。[R2，附件2</w:t>
      </w:r>
      <w:r>
        <w:t xml:space="preserve"> §3.1]</w:t>
      </w:r>
    </w:p>
    <w:bookmarkEnd w:id="41"/>
    <w:bookmarkStart w:id="42" w:name="分层时间分辨率"/>
    <w:p>
      <w:pPr>
        <w:pStyle w:val="Heading2"/>
      </w:pPr>
      <w:r>
        <w:t xml:space="preserve">6.4　</w:t>
      </w:r>
      <w:r>
        <w:rPr>
          <w:rFonts w:hint="eastAsia"/>
        </w:rPr>
        <w:t xml:space="preserve">分层时间分辨率</w:t>
      </w:r>
    </w:p>
    <w:tbl>
      <w:tblPr>
        <w:tblStyle w:val="Table"/>
        <w:tblW w:type="auto" w:w="0"/>
        <w:tblLayout w:type="fixed"/>
        <w:tblLook w:firstRow="1" w:lastRow="0" w:firstColumn="0" w:lastColumn="0" w:noHBand="0" w:noVBand="0" w:val="0020"/>
      </w:tblPr>
      <w:tblGrid>
        <w:gridCol w:w="2640"/>
        <w:gridCol w:w="2640"/>
        <w:gridCol w:w="2640"/>
      </w:tblGrid>
      <w:tr>
        <w:trPr>
          <w:tblHeader w:val="on"/>
          <w:cantSplit/>
          <w:tblHeader/>
        </w:trPr>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层次</w:t>
            </w:r>
          </w:p>
        </w:tc>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主要计算</w:t>
            </w:r>
          </w:p>
        </w:tc>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建议实现</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轨道层</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可见性、斜距及慢变几何</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粗网格筛查和几何包络</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波束层</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扫描、驻留、模式切换</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潜在事件局部细化</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脉冲层</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过阈脉宽、恢复及脉冲重叠</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事件级或波形级计算</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接收机层</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AGC和环路记忆</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状态连续的动态响应</w:t>
            </w:r>
          </w:p>
        </w:tc>
      </w:tr>
    </w:tbl>
    <w:p>
      <w:pPr>
        <w:pStyle w:val="BodyText"/>
      </w:pPr>
      <w:r>
        <w:rPr>
          <w:rFonts w:hint="eastAsia"/>
        </w:rPr>
        <w:t xml:space="preserve">M.2305采用长期仿真和局部精细仿真组合。其研究中的120天、10秒、50毫秒等是特定系统的设置，不是所有项目的统一规定。[R5]</w:t>
      </w:r>
    </w:p>
    <w:bookmarkEnd w:id="42"/>
    <w:bookmarkStart w:id="43" w:name="收敛与漏检检查"/>
    <w:p>
      <w:pPr>
        <w:pStyle w:val="Heading2"/>
      </w:pPr>
      <w:r>
        <w:t xml:space="preserve">6.5　</w:t>
      </w:r>
      <w:r>
        <w:rPr>
          <w:rFonts w:hint="eastAsia"/>
        </w:rPr>
        <w:t xml:space="preserve">收敛与漏检检查</w:t>
      </w:r>
    </w:p>
    <w:p>
      <w:pPr>
        <w:pStyle w:val="FirstParagraph"/>
      </w:pPr>
      <w:r>
        <w:rPr>
          <w:rFonts w:hint="eastAsia"/>
        </w:rPr>
        <w:t xml:space="preserve">工程上将关键窗口的步长减半，比较最大接收功率、最大劣化、超限总时长和单次最长时长。变化超过事先约定数值容差时继续细化。粗网格还应利用几何包络覆盖潜在窄波束事件，避免只细化粗采样已经命中的事件。</w:t>
      </w:r>
    </w:p>
    <w:p>
      <w:pPr>
        <w:pStyle w:val="BodyText"/>
      </w:pPr>
      <w:r>
        <w:rPr>
          <w:rFonts w:hint="eastAsia"/>
          <w:b/>
          <w:bCs/>
        </w:rPr>
        <w:t xml:space="preserve">交付物：动态功率/波束状态序列、候选事件表、步长收敛记录。</w:t>
      </w:r>
    </w:p>
    <w:bookmarkEnd w:id="43"/>
    <w:bookmarkEnd w:id="44"/>
    <w:bookmarkStart w:id="48" w:name="真实频谱与时域响应"/>
    <w:p>
      <w:pPr>
        <w:pStyle w:val="Heading1"/>
      </w:pPr>
      <w:r>
        <w:t xml:space="preserve">7　</w:t>
      </w:r>
      <w:r>
        <w:rPr>
          <w:rFonts w:hint="eastAsia"/>
        </w:rPr>
        <w:t xml:space="preserve">真实频谱与时域响应</w:t>
      </w:r>
    </w:p>
    <w:bookmarkStart w:id="45" w:name="频谱积分用于能量耦合"/>
    <w:p>
      <w:pPr>
        <w:pStyle w:val="Heading2"/>
      </w:pPr>
      <w:r>
        <w:t xml:space="preserve">7.1　</w:t>
      </w:r>
      <w:r>
        <w:rPr>
          <w:rFonts w:hint="eastAsia"/>
        </w:rPr>
        <w:t xml:space="preserve">频谱积分用于能量耦合</w:t>
      </w:r>
    </w:p>
    <w:p>
      <w:pPr>
        <w:pStyle w:val="FirstParagraph"/>
      </w:pPr>
      <w:r>
        <w:rPr>
          <w:rFonts w:hint="eastAsia"/>
        </w:rPr>
        <w:t xml:space="preserve">设天线输出参考面的干扰功率谱密度为</w:t>
      </w:r>
      <w:r>
        <w:t xml:space="preserve"> </w:t>
      </w:r>
      <m:oMath>
        <m:sSub>
          <m:e>
            <m:r>
              <m:t>S</m:t>
            </m:r>
          </m:e>
          <m:sub>
            <m:r>
              <m:t>I</m:t>
            </m:r>
            <m:r>
              <m:rPr>
                <m:sty m:val="p"/>
              </m:rPr>
              <m:t>,</m:t>
            </m:r>
            <m:r>
              <m:t>0</m:t>
            </m:r>
          </m:sub>
        </m:sSub>
        <m:r>
          <m:rPr>
            <m:sty m:val="p"/>
          </m:rPr>
          <m:t>(</m:t>
        </m:r>
        <m:r>
          <m:t>f</m:t>
        </m:r>
        <m:r>
          <m:rPr>
            <m:sty m:val="p"/>
          </m:rPr>
          <m:t>,</m:t>
        </m:r>
        <m:r>
          <m:t>t</m:t>
        </m:r>
        <m:r>
          <m:rPr>
            <m:sty m:val="p"/>
          </m:rPr>
          <m:t>)</m:t>
        </m:r>
      </m:oMath>
      <w:r>
        <w:rPr>
          <w:rFonts w:hint="eastAsia"/>
        </w:rPr>
        <w:t xml:space="preserve">，到某级之前的线性滤波响应为</w:t>
      </w:r>
      <w:r>
        <w:t xml:space="preserve"> </w:t>
      </w:r>
      <m:oMath>
        <m:sSub>
          <m:e>
            <m:r>
              <m:t>H</m:t>
            </m:r>
          </m:e>
          <m:sub>
            <m:r>
              <m:t>j</m:t>
            </m:r>
          </m:sub>
        </m:sSub>
        <m:r>
          <m:rPr>
            <m:sty m:val="p"/>
          </m:rPr>
          <m:t>(</m:t>
        </m:r>
        <m:r>
          <m:t>f</m:t>
        </m:r>
        <m:r>
          <m:rPr>
            <m:sty m:val="p"/>
          </m:rPr>
          <m:t>)</m:t>
        </m:r>
      </m:oMath>
      <w:r>
        <w:rPr>
          <w:rFonts w:hint="eastAsia"/>
        </w:rPr>
        <w:t xml:space="preserve">，则</w:t>
      </w:r>
    </w:p>
    <w:p>
      <w:pPr>
        <w:pStyle w:val="BodyText"/>
      </w:pPr>
      <m:oMathPara>
        <m:oMathParaPr>
          <m:jc m:val="center"/>
        </m:oMathParaPr>
        <m:oMath>
          <m:sSub>
            <m:e>
              <m:r>
                <m:t>P</m:t>
              </m:r>
            </m:e>
            <m:sub>
              <m:r>
                <m:t>I</m:t>
              </m:r>
              <m:r>
                <m:rPr>
                  <m:sty m:val="p"/>
                </m:rPr>
                <m:t>,</m:t>
              </m:r>
              <m:r>
                <m:t>j</m:t>
              </m:r>
            </m:sub>
          </m:sSub>
          <m:r>
            <m:rPr>
              <m:sty m:val="p"/>
            </m:rPr>
            <m:t>(</m:t>
          </m:r>
          <m:r>
            <m:t>t</m:t>
          </m:r>
          <m:r>
            <m:rPr>
              <m:sty m:val="p"/>
            </m:rPr>
            <m:t>)</m:t>
          </m:r>
          <m:r>
            <m:rPr>
              <m:sty m:val="p"/>
            </m:rPr>
            <m:t>=</m:t>
          </m:r>
          <m:r>
            <m:rPr>
              <m:sty m:val="p"/>
            </m:rPr>
            <m:t>∫</m:t>
          </m:r>
          <m:sSub>
            <m:e>
              <m:r>
                <m:t>S</m:t>
              </m:r>
            </m:e>
            <m:sub>
              <m:r>
                <m:t>I</m:t>
              </m:r>
              <m:r>
                <m:rPr>
                  <m:sty m:val="p"/>
                </m:rPr>
                <m:t>,</m:t>
              </m:r>
              <m:r>
                <m:t>0</m:t>
              </m:r>
            </m:sub>
          </m:sSub>
          <m:r>
            <m:rPr>
              <m:sty m:val="p"/>
            </m:rPr>
            <m:t>(</m:t>
          </m:r>
          <m:r>
            <m:t>f</m:t>
          </m:r>
          <m:r>
            <m:rPr>
              <m:sty m:val="p"/>
            </m:rPr>
            <m:t>,</m:t>
          </m:r>
          <m:r>
            <m:t>t</m:t>
          </m:r>
          <m:r>
            <m:rPr>
              <m:sty m:val="p"/>
            </m:rPr>
            <m:t>)</m:t>
          </m:r>
          <m:r>
            <m:rPr>
              <m:sty m:val="p"/>
            </m:rPr>
            <m:t>|</m:t>
          </m:r>
          <m:sSub>
            <m:e>
              <m:r>
                <m:t>H</m:t>
              </m:r>
            </m:e>
            <m:sub>
              <m:r>
                <m:t>j</m:t>
              </m:r>
            </m:sub>
          </m:sSub>
          <m:r>
            <m:rPr>
              <m:sty m:val="p"/>
            </m:rPr>
            <m:t>(</m:t>
          </m:r>
          <m:r>
            <m:t>f</m:t>
          </m:r>
          <m:r>
            <m:rPr>
              <m:sty m:val="p"/>
            </m:rPr>
            <m:t>)</m:t>
          </m:r>
          <m:sSup>
            <m:e>
              <m:r>
                <m:rPr>
                  <m:sty m:val="p"/>
                </m:rPr>
                <m:t>|</m:t>
              </m:r>
            </m:e>
            <m:sup>
              <m:r>
                <m:t>2</m:t>
              </m:r>
            </m:sup>
          </m:sSup>
          <m:r>
            <m:t> </m:t>
          </m:r>
          <m:r>
            <m:t>d</m:t>
          </m:r>
          <m:r>
            <m:t>f</m:t>
          </m:r>
          <m:r>
            <m:rPr>
              <m:sty m:val="p"/>
            </m:rPr>
            <m:t>.</m:t>
          </m:r>
        </m:oMath>
      </m:oMathPara>
    </w:p>
    <w:p>
      <w:pPr>
        <w:pStyle w:val="FirstParagraph"/>
      </w:pPr>
      <w:r>
        <w:rPr>
          <w:rFonts w:hint="eastAsia"/>
        </w:rPr>
        <w:t xml:space="preserve">必须注明谱密度是脉内平均、周期平均还是其他定义，频谱与滤波器的增益标定也要一致。周期平均谱积分不能直接代表瞬时峰值。</w:t>
      </w:r>
    </w:p>
    <w:p>
      <w:pPr>
        <w:pStyle w:val="BodyText"/>
      </w:pPr>
      <w:r>
        <w:rPr>
          <w:rFonts w:hint="eastAsia"/>
        </w:rPr>
        <w:t xml:space="preserve">RS.2311将干扰频谱与接收机及天线滤波响应结合，求进入预相关通带的部分，而不是只比较名义带宽。[R7，§4.4.1]</w:t>
      </w:r>
    </w:p>
    <w:bookmarkEnd w:id="45"/>
    <w:bookmarkStart w:id="46" w:name="时域计算用于峰值与过阈区间"/>
    <w:p>
      <w:pPr>
        <w:pStyle w:val="Heading2"/>
      </w:pPr>
      <w:r>
        <w:t xml:space="preserve">7.2　</w:t>
      </w:r>
      <w:r>
        <w:rPr>
          <w:rFonts w:hint="eastAsia"/>
        </w:rPr>
        <w:t xml:space="preserve">时域计算用于峰值与过阈区间</w:t>
      </w:r>
    </w:p>
    <w:p>
      <w:pPr>
        <w:pStyle w:val="FirstParagraph"/>
      </w:pPr>
      <w:r>
        <w:rPr>
          <w:rFonts w:hint="eastAsia"/>
        </w:rPr>
        <w:t xml:space="preserve">在线性条件下：</w:t>
      </w:r>
    </w:p>
    <w:p>
      <w:pPr>
        <w:pStyle w:val="BodyText"/>
      </w:pPr>
      <m:oMathPara>
        <m:oMathParaPr>
          <m:jc m:val="center"/>
        </m:oMathParaPr>
        <m:oMath>
          <m:sSub>
            <m:e>
              <m:r>
                <m:t>x</m:t>
              </m:r>
            </m:e>
            <m:sub>
              <m:r>
                <m:t>j</m:t>
              </m:r>
            </m:sub>
          </m:sSub>
          <m:r>
            <m:rPr>
              <m:sty m:val="p"/>
            </m:rPr>
            <m:t>(</m:t>
          </m:r>
          <m:r>
            <m:t>τ</m:t>
          </m:r>
          <m:r>
            <m:rPr>
              <m:sty m:val="p"/>
            </m:rPr>
            <m:t>;</m:t>
          </m:r>
          <m:r>
            <m:t>t</m:t>
          </m:r>
          <m:r>
            <m:rPr>
              <m:sty m:val="p"/>
            </m:rPr>
            <m:t>)</m:t>
          </m:r>
          <m:r>
            <m:rPr>
              <m:sty m:val="p"/>
            </m:rPr>
            <m:t>=</m:t>
          </m:r>
          <m:sSub>
            <m:e>
              <m:r>
                <m:t>h</m:t>
              </m:r>
            </m:e>
            <m:sub>
              <m:r>
                <m:t>j</m:t>
              </m:r>
            </m:sub>
          </m:sSub>
          <m:r>
            <m:rPr>
              <m:sty m:val="p"/>
            </m:rPr>
            <m:t>(</m:t>
          </m:r>
          <m:r>
            <m:t>τ</m:t>
          </m:r>
          <m:r>
            <m:rPr>
              <m:sty m:val="p"/>
            </m:rPr>
            <m:t>)</m:t>
          </m:r>
          <m:r>
            <m:rPr>
              <m:sty m:val="p"/>
            </m:rPr>
            <m:t>*</m:t>
          </m:r>
          <m:sSub>
            <m:e>
              <m:r>
                <m:t>x</m:t>
              </m:r>
            </m:e>
            <m:sub>
              <m:r>
                <m:t>0</m:t>
              </m:r>
            </m:sub>
          </m:sSub>
          <m:r>
            <m:rPr>
              <m:sty m:val="p"/>
            </m:rPr>
            <m:t>(</m:t>
          </m:r>
          <m:r>
            <m:t>τ</m:t>
          </m:r>
          <m:r>
            <m:rPr>
              <m:sty m:val="p"/>
            </m:rPr>
            <m:t>;</m:t>
          </m:r>
          <m:r>
            <m:t>t</m:t>
          </m:r>
          <m:r>
            <m:rPr>
              <m:sty m:val="p"/>
            </m:rPr>
            <m:t>)</m:t>
          </m:r>
          <m:r>
            <m:rPr>
              <m:sty m:val="p"/>
            </m:rPr>
            <m:t>.</m:t>
          </m:r>
        </m:oMath>
      </m:oMathPara>
    </w:p>
    <w:p>
      <w:pPr>
        <w:pStyle w:val="FirstParagraph"/>
      </w:pPr>
      <m:oMath>
        <m:r>
          <m:t>t</m:t>
        </m:r>
      </m:oMath>
      <w:r>
        <w:rPr>
          <w:rFonts w:hint="eastAsia"/>
        </w:rPr>
        <w:t xml:space="preserve">是轨道/波束慢时间，</w:t>
      </w:r>
      <m:oMath>
        <m:r>
          <m:t>τ</m:t>
        </m:r>
      </m:oMath>
      <w:r>
        <w:rPr>
          <w:rFonts w:hint="eastAsia"/>
        </w:rPr>
        <w:t xml:space="preserve">是脉冲快时间。由输出包络求峰值、振铃和过阈时间。某级明显非线性后，不能继续用一条全链路线性传递函数，应引入经过验证的非线性或实测响应。</w:t>
      </w:r>
    </w:p>
    <w:p>
      <w:pPr>
        <w:pStyle w:val="BodyText"/>
      </w:pPr>
      <w:r>
        <w:rPr>
          <w:rFonts w:hint="eastAsia"/>
        </w:rPr>
        <w:t xml:space="preserve">脉冲谱能量、脉内峰值、周期平均和瞬时包络是不同量；各自在正确环节使用，避免重复滤波和重复带宽折减。</w:t>
      </w:r>
    </w:p>
    <w:bookmarkEnd w:id="46"/>
    <w:bookmarkStart w:id="47" w:name="验证有效脉宽近似"/>
    <w:p>
      <w:pPr>
        <w:pStyle w:val="Heading2"/>
      </w:pPr>
      <w:r>
        <w:t xml:space="preserve">7.3　</w:t>
      </w:r>
      <w:r>
        <w:rPr>
          <w:rFonts w:hint="eastAsia"/>
        </w:rPr>
        <w:t xml:space="preserve">验证有效脉宽近似</w:t>
      </w:r>
    </w:p>
    <w:p>
      <w:pPr>
        <w:pStyle w:val="FirstParagraph"/>
      </w:pPr>
      <w:r>
        <w:rPr>
          <w:rFonts w:hint="eastAsia"/>
        </w:rPr>
        <w:t xml:space="preserve">RS.2537的线性调频算例使用</w:t>
      </w:r>
    </w:p>
    <w:p>
      <w:pPr>
        <w:pStyle w:val="BodyText"/>
      </w:pPr>
      <m:oMathPara>
        <m:oMathParaPr>
          <m:jc m:val="center"/>
        </m:oMathParaPr>
        <m:oMath>
          <m:r>
            <m:t>P</m:t>
          </m:r>
          <m:sSub>
            <m:e>
              <m:r>
                <m:t>W</m:t>
              </m:r>
            </m:e>
            <m:sub>
              <m:r>
                <m:rPr>
                  <m:sty m:val="p"/>
                </m:rPr>
                <m:t>e</m:t>
              </m:r>
              <m:r>
                <m:rPr>
                  <m:sty m:val="p"/>
                </m:rPr>
                <m:t>f</m:t>
              </m:r>
              <m:r>
                <m:rPr>
                  <m:sty m:val="p"/>
                </m:rPr>
                <m:t>f</m:t>
              </m:r>
            </m:sub>
          </m:sSub>
          <m:r>
            <m:rPr>
              <m:sty m:val="p"/>
            </m:rPr>
            <m:t>=</m:t>
          </m:r>
          <m:r>
            <m:t>P</m:t>
          </m:r>
          <m:r>
            <m:t>W</m:t>
          </m:r>
          <m:f>
            <m:fPr>
              <m:type m:val="bar"/>
            </m:fPr>
            <m:num>
              <m:r>
                <m:rPr>
                  <m:sty m:val="p"/>
                </m:rPr>
                <m:t>Δ</m:t>
              </m:r>
              <m:r>
                <m:t>f</m:t>
              </m:r>
            </m:num>
            <m:den>
              <m:sSub>
                <m:e>
                  <m:r>
                    <m:t>B</m:t>
                  </m:r>
                </m:e>
                <m:sub>
                  <m:r>
                    <m:rPr>
                      <m:sty m:val="p"/>
                    </m:rPr>
                    <m:t>c</m:t>
                  </m:r>
                  <m:r>
                    <m:rPr>
                      <m:sty m:val="p"/>
                    </m:rPr>
                    <m:t>h</m:t>
                  </m:r>
                  <m:r>
                    <m:rPr>
                      <m:sty m:val="p"/>
                    </m:rPr>
                    <m:t>i</m:t>
                  </m:r>
                  <m:r>
                    <m:rPr>
                      <m:sty m:val="p"/>
                    </m:rPr>
                    <m:t>r</m:t>
                  </m:r>
                  <m:r>
                    <m:rPr>
                      <m:sty m:val="p"/>
                    </m:rPr>
                    <m:t>p</m:t>
                  </m:r>
                </m:sub>
              </m:sSub>
            </m:den>
          </m:f>
          <m:r>
            <m:rPr>
              <m:sty m:val="p"/>
            </m:rPr>
            <m:t>.</m:t>
          </m:r>
        </m:oMath>
      </m:oMathPara>
    </w:p>
    <w:p>
      <w:pPr>
        <w:pStyle w:val="FirstParagraph"/>
      </w:pPr>
      <w:r>
        <w:rPr>
          <w:rFonts w:hint="eastAsia"/>
        </w:rPr>
        <w:t xml:space="preserve">此式依赖相应扫频和等效滤波假设。详评先复现原矩形滤波器算例，再替换真实响应，比较峰值、过阈宽度和能量。若差异会改变判定，就保留真实模型。</w:t>
      </w:r>
    </w:p>
    <w:p>
      <w:pPr>
        <w:pStyle w:val="BodyText"/>
      </w:pPr>
      <w:r>
        <w:rPr>
          <w:rFonts w:hint="eastAsia"/>
        </w:rPr>
        <w:t xml:space="preserve">报告指出，用何种接收滤波衰减水平定义重叠带宽依赖实现；数据缺失时用完全重叠会增加保守性，详评应注意这一点。[R2，附件2</w:t>
      </w:r>
      <w:r>
        <w:t xml:space="preserve"> §3.2.1]</w:t>
      </w:r>
    </w:p>
    <w:p>
      <w:pPr>
        <w:pStyle w:val="BodyText"/>
      </w:pPr>
      <w:r>
        <w:rPr>
          <w:rFonts w:hint="eastAsia"/>
          <w:b/>
          <w:bCs/>
        </w:rPr>
        <w:t xml:space="preserve">交付物：频谱耦合、滤波后脉冲响应、有效脉宽近似误差。</w:t>
      </w:r>
    </w:p>
    <w:bookmarkEnd w:id="47"/>
    <w:bookmarkEnd w:id="48"/>
    <w:bookmarkStart w:id="53" w:name="强弱脉冲与接收机恢复模型"/>
    <w:p>
      <w:pPr>
        <w:pStyle w:val="Heading1"/>
      </w:pPr>
      <w:r>
        <w:t xml:space="preserve">8　</w:t>
      </w:r>
      <w:r>
        <w:rPr>
          <w:rFonts w:hint="eastAsia"/>
        </w:rPr>
        <w:t xml:space="preserve">强弱脉冲与接收机恢复模型</w:t>
      </w:r>
    </w:p>
    <w:bookmarkStart w:id="49" w:name="允许同一脉冲有不同部分"/>
    <w:p>
      <w:pPr>
        <w:pStyle w:val="Heading2"/>
      </w:pPr>
      <w:r>
        <w:t xml:space="preserve">8.1　</w:t>
      </w:r>
      <w:r>
        <w:rPr>
          <w:rFonts w:hint="eastAsia"/>
        </w:rPr>
        <w:t xml:space="preserve">允许同一脉冲有不同部分</w:t>
      </w:r>
    </w:p>
    <w:p>
      <w:pPr>
        <w:pStyle w:val="FirstParagraph"/>
      </w:pPr>
      <w:r>
        <w:rPr>
          <w:rFonts w:hint="eastAsia"/>
        </w:rPr>
        <w:t xml:space="preserve">滤波后的一个脉冲可能中段高于门限、边沿低于门限，也可能形成多个受影响区间。M.2030规定使用实际收到且高于相应门限的脉宽，并计入恢复时间。[R3，式(3a)]</w:t>
      </w:r>
    </w:p>
    <w:p>
      <w:pPr>
        <w:pStyle w:val="BodyText"/>
      </w:pPr>
      <w:r>
        <w:rPr>
          <w:rFonts w:hint="eastAsia"/>
        </w:rPr>
        <w:t xml:space="preserve">在固定恢复、周期性且不发生复杂相互影响的条件下：</w:t>
      </w:r>
    </w:p>
    <w:p>
      <w:pPr>
        <w:pStyle w:val="BodyText"/>
      </w:pPr>
      <m:oMathPara>
        <m:oMathParaPr>
          <m:jc m:val="center"/>
        </m:oMathParaPr>
        <m:oMath>
          <m:r>
            <m:t>P</m:t>
          </m:r>
          <m:r>
            <m:t>D</m:t>
          </m:r>
          <m:sSub>
            <m:e>
              <m:r>
                <m:t>C</m:t>
              </m:r>
            </m:e>
            <m:sub>
              <m:r>
                <m:t>i</m:t>
              </m:r>
            </m:sub>
          </m:sSub>
          <m:r>
            <m:rPr>
              <m:sty m:val="p"/>
            </m:rPr>
            <m:t>=</m:t>
          </m:r>
          <m:r>
            <m:rPr>
              <m:sty m:val="p"/>
            </m:rPr>
            <m:t>(</m:t>
          </m:r>
          <m:r>
            <m:t>P</m:t>
          </m:r>
          <m:sSub>
            <m:e>
              <m:r>
                <m:t>W</m:t>
              </m:r>
            </m:e>
            <m:sub>
              <m:r>
                <m:rPr>
                  <m:sty m:val="p"/>
                </m:rPr>
                <m:t>a</m:t>
              </m:r>
              <m:r>
                <m:rPr>
                  <m:sty m:val="p"/>
                </m:rPr>
                <m:t>b</m:t>
              </m:r>
              <m:r>
                <m:rPr>
                  <m:sty m:val="p"/>
                </m:rPr>
                <m:t>o</m:t>
              </m:r>
              <m:r>
                <m:rPr>
                  <m:sty m:val="p"/>
                </m:rPr>
                <m:t>v</m:t>
              </m:r>
              <m:r>
                <m:rPr>
                  <m:sty m:val="p"/>
                </m:rPr>
                <m:t>e</m:t>
              </m:r>
              <m:r>
                <m:rPr>
                  <m:sty m:val="p"/>
                </m:rPr>
                <m:t>,</m:t>
              </m:r>
              <m:r>
                <m:t>i</m:t>
              </m:r>
            </m:sub>
          </m:sSub>
          <m:r>
            <m:rPr>
              <m:sty m:val="p"/>
            </m:rPr>
            <m:t>+</m:t>
          </m:r>
          <m:sSub>
            <m:e>
              <m:r>
                <m:t>τ</m:t>
              </m:r>
            </m:e>
            <m:sub>
              <m:r>
                <m:rPr>
                  <m:sty m:val="p"/>
                </m:rPr>
                <m:t>r</m:t>
              </m:r>
              <m:r>
                <m:rPr>
                  <m:sty m:val="p"/>
                </m:rPr>
                <m:t>e</m:t>
              </m:r>
              <m:r>
                <m:rPr>
                  <m:sty m:val="p"/>
                </m:rPr>
                <m:t>c</m:t>
              </m:r>
              <m:r>
                <m:rPr>
                  <m:sty m:val="p"/>
                </m:rPr>
                <m:t>,</m:t>
              </m:r>
              <m:r>
                <m:t>i</m:t>
              </m:r>
            </m:sub>
          </m:sSub>
          <m:r>
            <m:rPr>
              <m:sty m:val="p"/>
            </m:rPr>
            <m:t>)</m:t>
          </m:r>
          <m:r>
            <m:t>P</m:t>
          </m:r>
          <m:r>
            <m:t>R</m:t>
          </m:r>
          <m:sSub>
            <m:e>
              <m:r>
                <m:t>F</m:t>
              </m:r>
            </m:e>
            <m:sub>
              <m:r>
                <m:t>i</m:t>
              </m:r>
            </m:sub>
          </m:sSub>
          <m:r>
            <m:rPr>
              <m:sty m:val="p"/>
            </m:rPr>
            <m:t>.</m:t>
          </m:r>
        </m:oMath>
      </m:oMathPara>
    </w:p>
    <w:p>
      <w:pPr>
        <w:pStyle w:val="FirstParagraph"/>
      </w:pPr>
      <w:r>
        <w:rPr>
          <w:rFonts w:hint="eastAsia"/>
        </w:rPr>
        <w:t xml:space="preserve">高于消隐门限、器件压缩门限与ADC等效饱和门限并非总相同，必须按已选接收机模型使用。</w:t>
      </w:r>
    </w:p>
    <w:bookmarkEnd w:id="49"/>
    <w:bookmarkStart w:id="50" w:name="工程实现区间并集"/>
    <w:p>
      <w:pPr>
        <w:pStyle w:val="Heading2"/>
      </w:pPr>
      <w:r>
        <w:t xml:space="preserve">8.2　</w:t>
      </w:r>
      <w:r>
        <w:rPr>
          <w:rFonts w:hint="eastAsia"/>
        </w:rPr>
        <w:t xml:space="preserve">工程实现：区间并集</w:t>
      </w:r>
    </w:p>
    <w:p>
      <w:pPr>
        <w:pStyle w:val="FirstParagraph"/>
      </w:pPr>
      <w:r>
        <w:rPr>
          <w:rFonts w:hint="eastAsia"/>
        </w:rPr>
        <w:t xml:space="preserve">把每次强脉冲导致的信号损失及额外恢复区间记为</w:t>
      </w:r>
      <w:r>
        <w:t xml:space="preserve"> </w:t>
      </w:r>
      <m:oMath>
        <m:sSub>
          <m:e>
            <m:r>
              <m:rPr>
                <m:scr m:val="script"/>
                <m:sty m:val="p"/>
              </m:rPr>
              <m:t>S</m:t>
            </m:r>
          </m:e>
          <m:sub>
            <m:r>
              <m:t>i</m:t>
            </m:r>
            <m:r>
              <m:rPr>
                <m:sty m:val="p"/>
              </m:rPr>
              <m:t>,</m:t>
            </m:r>
            <m:r>
              <m:t>k</m:t>
            </m:r>
          </m:sub>
        </m:sSub>
      </m:oMath>
      <w:r>
        <w:rPr>
          <w:rFonts w:hint="eastAsia"/>
        </w:rPr>
        <w:t xml:space="preserve">。在长度为</w:t>
      </w:r>
      <w:r>
        <w:t xml:space="preserve"> </w:t>
      </w:r>
      <m:oMath>
        <m:r>
          <m:t>W</m:t>
        </m:r>
      </m:oMath>
      <w:r>
        <w:t xml:space="preserve"> </w:t>
      </w:r>
      <w:r>
        <w:rPr>
          <w:rFonts w:hint="eastAsia"/>
        </w:rPr>
        <w:t xml:space="preserve">的窗口内，采用</w:t>
      </w:r>
    </w:p>
    <w:p>
      <w:pPr>
        <w:pStyle w:val="BodyText"/>
      </w:pPr>
      <m:oMathPara>
        <m:oMathParaPr>
          <m:jc m:val="center"/>
        </m:oMathParaPr>
        <m:oMath>
          <m:r>
            <m:t>P</m:t>
          </m:r>
          <m:r>
            <m:t>D</m:t>
          </m:r>
          <m:sSub>
            <m:e>
              <m:r>
                <m:t>C</m:t>
              </m:r>
            </m:e>
            <m:sub>
              <m:r>
                <m:rPr>
                  <m:sty m:val="p"/>
                </m:rPr>
                <m:t>e</m:t>
              </m:r>
              <m:r>
                <m:rPr>
                  <m:sty m:val="p"/>
                </m:rPr>
                <m:t>x</m:t>
              </m:r>
              <m:r>
                <m:rPr>
                  <m:sty m:val="p"/>
                </m:rPr>
                <m:t>a</m:t>
              </m:r>
              <m:r>
                <m:rPr>
                  <m:sty m:val="p"/>
                </m:rPr>
                <m:t>c</m:t>
              </m:r>
              <m:r>
                <m:rPr>
                  <m:sty m:val="p"/>
                </m:rPr>
                <m:t>t</m:t>
              </m:r>
            </m:sub>
          </m:sSub>
          <m:r>
            <m:rPr>
              <m:sty m:val="p"/>
            </m:rPr>
            <m:t>=</m:t>
          </m:r>
          <m:f>
            <m:fPr>
              <m:type m:val="bar"/>
            </m:fPr>
            <m:num>
              <m:r>
                <m:t>μ</m:t>
              </m:r>
              <m:d>
                <m:dPr>
                  <m:begChr m:val="("/>
                  <m:sepChr m:val=""/>
                  <m:endChr m:val=")"/>
                  <m:grow/>
                </m:dPr>
                <m:e>
                  <m:limLow>
                    <m:e>
                      <m:r>
                        <m:rPr>
                          <m:sty m:val="p"/>
                        </m:rPr>
                        <m:t>⋃</m:t>
                      </m:r>
                    </m:e>
                    <m:lim>
                      <m:r>
                        <m:t>i</m:t>
                      </m:r>
                      <m:r>
                        <m:rPr>
                          <m:sty m:val="p"/>
                        </m:rPr>
                        <m:t>,</m:t>
                      </m:r>
                      <m:r>
                        <m:t>k</m:t>
                      </m:r>
                    </m:lim>
                  </m:limLow>
                  <m:sSub>
                    <m:e>
                      <m:r>
                        <m:rPr>
                          <m:scr m:val="script"/>
                          <m:sty m:val="p"/>
                        </m:rPr>
                        <m:t>S</m:t>
                      </m:r>
                    </m:e>
                    <m:sub>
                      <m:r>
                        <m:t>i</m:t>
                      </m:r>
                      <m:r>
                        <m:rPr>
                          <m:sty m:val="p"/>
                        </m:rPr>
                        <m:t>,</m:t>
                      </m:r>
                      <m:r>
                        <m:t>k</m:t>
                      </m:r>
                    </m:sub>
                  </m:sSub>
                </m:e>
              </m:d>
            </m:num>
            <m:den>
              <m:r>
                <m:t>W</m:t>
              </m:r>
            </m:den>
          </m:f>
          <m:r>
            <m:rPr>
              <m:sty m:val="p"/>
            </m:rPr>
            <m:t>.</m:t>
          </m:r>
        </m:oMath>
      </m:oMathPara>
    </w:p>
    <w:p>
      <w:pPr>
        <w:pStyle w:val="FirstParagraph"/>
      </w:pPr>
      <w:r>
        <w:rPr>
          <w:rFonts w:hint="eastAsia"/>
        </w:rPr>
        <w:t xml:space="preserve">这里</w:t>
      </w:r>
      <w:r>
        <w:t xml:space="preserve"> </w:t>
      </w:r>
      <m:oMath>
        <m:r>
          <m:t>μ</m:t>
        </m:r>
      </m:oMath>
      <w:r>
        <w:t xml:space="preserve"> </w:t>
      </w:r>
      <w:r>
        <w:rPr>
          <w:rFonts w:hint="eastAsia"/>
        </w:rPr>
        <w:t xml:space="preserve">是区间总长度。该工程算法可以处理非固定PRF、脉组、恢复尾迹重叠和同步源，避免重复计算已损失时间。</w:t>
      </w:r>
    </w:p>
    <w:p>
      <w:pPr>
        <w:pStyle w:val="BodyText"/>
      </w:pPr>
      <w:r>
        <w:rPr>
          <w:rFonts w:hint="eastAsia"/>
        </w:rPr>
        <w:t xml:space="preserve">但多个单独不饱和的信号叠加后可能一起触发过载。因此不能在任何情况下都先对单源分类后简单合并；必要时先形成联合输入，计算接收机联合响应，再生成损失区间。</w:t>
      </w:r>
    </w:p>
    <w:bookmarkEnd w:id="50"/>
    <w:bookmarkStart w:id="51" w:name="恢复时间的定义与状态依赖"/>
    <w:p>
      <w:pPr>
        <w:pStyle w:val="Heading2"/>
      </w:pPr>
      <w:r>
        <w:t xml:space="preserve">8.3　</w:t>
      </w:r>
      <w:r>
        <w:rPr>
          <w:rFonts w:hint="eastAsia"/>
        </w:rPr>
        <w:t xml:space="preserve">恢复时间的定义与状态依赖</w:t>
      </w:r>
    </w:p>
    <w:p>
      <w:pPr>
        <w:pStyle w:val="FirstParagraph"/>
      </w:pPr>
      <w:r>
        <w:rPr>
          <w:rFonts w:hint="eastAsia"/>
        </w:rPr>
        <w:t xml:space="preserve">区分“脉冲结束后的额外恢复时间”和“含脉冲本身的总受影响时间”，不得重复相加。对明显AGC记忆，可用实测确定的状态依赖关系</w:t>
      </w:r>
    </w:p>
    <w:p>
      <w:pPr>
        <w:pStyle w:val="BodyText"/>
      </w:pPr>
      <m:oMathPara>
        <m:oMathParaPr>
          <m:jc m:val="center"/>
        </m:oMathParaPr>
        <m:oMath>
          <m:sSub>
            <m:e>
              <m:r>
                <m:t>τ</m:t>
              </m:r>
            </m:e>
            <m:sub>
              <m:r>
                <m:rPr>
                  <m:sty m:val="p"/>
                </m:rPr>
                <m:t>r</m:t>
              </m:r>
              <m:r>
                <m:rPr>
                  <m:sty m:val="p"/>
                </m:rPr>
                <m:t>e</m:t>
              </m:r>
              <m:r>
                <m:rPr>
                  <m:sty m:val="p"/>
                </m:rPr>
                <m:t>c</m:t>
              </m:r>
            </m:sub>
          </m:sSub>
          <m:r>
            <m:rPr>
              <m:sty m:val="p"/>
            </m:rPr>
            <m:t>=</m:t>
          </m:r>
          <m:r>
            <m:t>F</m:t>
          </m:r>
          <m:r>
            <m:rPr>
              <m:sty m:val="p"/>
            </m:rPr>
            <m:t>(</m:t>
          </m:r>
          <m:sSub>
            <m:e>
              <m:r>
                <m:t>P</m:t>
              </m:r>
            </m:e>
            <m:sub>
              <m:r>
                <m:rPr>
                  <m:sty m:val="p"/>
                </m:rPr>
                <m:t>p</m:t>
              </m:r>
              <m:r>
                <m:rPr>
                  <m:sty m:val="p"/>
                </m:rPr>
                <m:t>k</m:t>
              </m:r>
            </m:sub>
          </m:sSub>
          <m:r>
            <m:rPr>
              <m:sty m:val="p"/>
            </m:rPr>
            <m:t>,</m:t>
          </m:r>
          <m:r>
            <m:t>P</m:t>
          </m:r>
          <m:r>
            <m:t>W</m:t>
          </m:r>
          <m:r>
            <m:rPr>
              <m:sty m:val="p"/>
            </m:rPr>
            <m:t>,</m:t>
          </m:r>
          <m:r>
            <m:t>P</m:t>
          </m:r>
          <m:r>
            <m:t>R</m:t>
          </m:r>
          <m:r>
            <m:t>F</m:t>
          </m:r>
          <m:r>
            <m:rPr>
              <m:sty m:val="p"/>
            </m:rPr>
            <m:t>,</m:t>
          </m:r>
          <m:r>
            <m:rPr>
              <m:nor/>
              <m:sty m:val="p"/>
            </m:rPr>
            <m:t>工作模式与先前状态</m:t>
          </m:r>
          <m:r>
            <m:rPr>
              <m:sty m:val="p"/>
            </m:rPr>
            <m:t>)</m:t>
          </m:r>
          <m:r>
            <m:rPr>
              <m:sty m:val="p"/>
            </m:rPr>
            <m:t>.</m:t>
          </m:r>
        </m:oMath>
      </m:oMathPara>
    </w:p>
    <w:p>
      <w:pPr>
        <w:pStyle w:val="FirstParagraph"/>
      </w:pPr>
      <w:r>
        <w:rPr>
          <w:rFonts w:hint="eastAsia"/>
        </w:rPr>
        <w:t xml:space="preserve">这是建模形式，不是ITU给定通用函数。恢复终点也应定义，例如相关输出、AGC或观测量回到规定范围，不能凭波形肉眼估计。</w:t>
      </w:r>
    </w:p>
    <w:bookmarkEnd w:id="51"/>
    <w:bookmarkStart w:id="52" w:name="弱脉冲贡献"/>
    <w:p>
      <w:pPr>
        <w:pStyle w:val="Heading2"/>
      </w:pPr>
      <w:r>
        <w:t xml:space="preserve">8.4　</w:t>
      </w:r>
      <w:r>
        <w:rPr>
          <w:rFonts w:hint="eastAsia"/>
        </w:rPr>
        <w:t xml:space="preserve">弱脉冲贡献</w:t>
      </w:r>
    </w:p>
    <w:p>
      <w:pPr>
        <w:pStyle w:val="FirstParagraph"/>
      </w:pPr>
      <w:r>
        <w:rPr>
          <w:rFonts w:hint="eastAsia"/>
        </w:rPr>
        <w:t xml:space="preserve">在M.2030的等效模型适用条件下：</w:t>
      </w:r>
    </w:p>
    <w:p>
      <w:pPr>
        <w:pStyle w:val="BodyText"/>
      </w:pPr>
      <m:oMathPara>
        <m:oMathParaPr>
          <m:jc m:val="center"/>
        </m:oMathParaPr>
        <m:oMath>
          <m:sSub>
            <m:e>
              <m:r>
                <m:t>R</m:t>
              </m:r>
            </m:e>
            <m:sub>
              <m:r>
                <m:t>I</m:t>
              </m:r>
            </m:sub>
          </m:sSub>
          <m:r>
            <m:rPr>
              <m:sty m:val="p"/>
            </m:rPr>
            <m:t>=</m:t>
          </m:r>
          <m:f>
            <m:fPr>
              <m:type m:val="bar"/>
            </m:fPr>
            <m:num>
              <m:nary>
                <m:naryPr>
                  <m:chr m:val="∑"/>
                  <m:limLoc m:val="undOvr"/>
                  <m:subHide m:val="off"/>
                  <m:supHide m:val="on"/>
                </m:naryPr>
                <m:sub>
                  <m:r>
                    <m:t>i</m:t>
                  </m:r>
                </m:sub>
                <m:sup>
                  <m:r>
                    <m:t>​</m:t>
                  </m:r>
                </m:sup>
                <m:e>
                  <m:sSub>
                    <m:e>
                      <m:r>
                        <m:t>P</m:t>
                      </m:r>
                    </m:e>
                    <m:sub>
                      <m:r>
                        <m:t>i</m:t>
                      </m:r>
                      <m:r>
                        <m:rPr>
                          <m:sty m:val="p"/>
                        </m:rPr>
                        <m:t>,</m:t>
                      </m:r>
                      <m:r>
                        <m:rPr>
                          <m:sty m:val="p"/>
                        </m:rPr>
                        <m:t>p</m:t>
                      </m:r>
                      <m:r>
                        <m:rPr>
                          <m:sty m:val="p"/>
                        </m:rPr>
                        <m:t>k</m:t>
                      </m:r>
                    </m:sub>
                  </m:sSub>
                </m:e>
              </m:nary>
              <m:r>
                <m:t>d</m:t>
              </m:r>
              <m:sSub>
                <m:e>
                  <m:r>
                    <m:t>c</m:t>
                  </m:r>
                </m:e>
                <m:sub>
                  <m:r>
                    <m:t>i</m:t>
                  </m:r>
                </m:sub>
              </m:sSub>
            </m:num>
            <m:den>
              <m:sSub>
                <m:e>
                  <m:r>
                    <m:t>N</m:t>
                  </m:r>
                </m:e>
                <m:sub>
                  <m:r>
                    <m:t>0</m:t>
                  </m:r>
                </m:sub>
              </m:sSub>
              <m:r>
                <m:t>B</m:t>
              </m:r>
            </m:den>
          </m:f>
          <m:r>
            <m:rPr>
              <m:sty m:val="p"/>
            </m:rPr>
            <m:t>.</m:t>
          </m:r>
        </m:oMath>
      </m:oMathPara>
    </w:p>
    <w:p>
      <w:pPr>
        <w:pStyle w:val="FirstParagraph"/>
      </w:pPr>
      <w:r>
        <w:rPr>
          <w:rFonts w:hint="eastAsia"/>
        </w:rPr>
        <w:t xml:space="preserve">使用与标准一致的参考面和定义；弱脉冲并不是“没有饱和就无影响”。M.2220的组合模型有特定的脉冲重叠与消隐处理，不能先把弱脉冲的消隐损失扣除一遍，再原样代入同一解析公式，造成重复修正。[R3，式(2)、(4)；R4]</w:t>
      </w:r>
    </w:p>
    <w:p>
      <w:pPr>
        <w:pStyle w:val="BodyText"/>
      </w:pPr>
      <w:r>
        <w:rPr>
          <w:rFonts w:hint="eastAsia"/>
        </w:rPr>
        <w:t xml:space="preserve">频谱或处理机理不满足噪声等效近似时，采用相关处理仿真或实测验证，不能一概把残余功率除以带宽。</w:t>
      </w:r>
    </w:p>
    <w:p>
      <w:pPr>
        <w:pStyle w:val="BodyText"/>
      </w:pPr>
      <w:r>
        <w:rPr>
          <w:rFonts w:hint="eastAsia"/>
          <w:b/>
          <w:bCs/>
        </w:rPr>
        <w:t xml:space="preserve">交付物：损失区间、恢复模型、弱脉冲参数及适用性说明。</w:t>
      </w:r>
    </w:p>
    <w:bookmarkEnd w:id="52"/>
    <w:bookmarkEnd w:id="53"/>
    <w:bookmarkStart w:id="58" w:name="多源聚合与动态劣化"/>
    <w:p>
      <w:pPr>
        <w:pStyle w:val="Heading1"/>
      </w:pPr>
      <w:r>
        <w:t xml:space="preserve">9　</w:t>
      </w:r>
      <w:r>
        <w:rPr>
          <w:rFonts w:hint="eastAsia"/>
        </w:rPr>
        <w:t xml:space="preserve">多源聚合与动态劣化</w:t>
      </w:r>
    </w:p>
    <w:bookmarkStart w:id="54" w:name="先定义基线与新增源组"/>
    <w:p>
      <w:pPr>
        <w:pStyle w:val="Heading2"/>
      </w:pPr>
      <w:r>
        <w:t xml:space="preserve">9.1　</w:t>
      </w:r>
      <w:r>
        <w:rPr>
          <w:rFonts w:hint="eastAsia"/>
        </w:rPr>
        <w:t xml:space="preserve">先定义基线与新增源组</w:t>
      </w:r>
    </w:p>
    <w:p>
      <w:pPr>
        <w:pStyle w:val="FirstParagraph"/>
      </w:pPr>
      <w:r>
        <w:rPr>
          <w:rFonts w:hint="eastAsia"/>
        </w:rPr>
        <w:t xml:space="preserve">至少区分已有连续干扰、已有脉冲干扰和新增雷达源组。多颗新增雷达不能每颗分别占用全部新增预算。[R3，表2注3；R1，注1]</w:t>
      </w:r>
    </w:p>
    <w:bookmarkEnd w:id="54"/>
    <w:bookmarkStart w:id="55" w:name="统计独立时的聚合"/>
    <w:p>
      <w:pPr>
        <w:pStyle w:val="Heading2"/>
      </w:pPr>
      <w:r>
        <w:t xml:space="preserve">9.2　</w:t>
      </w:r>
      <w:r>
        <w:rPr>
          <w:rFonts w:hint="eastAsia"/>
        </w:rPr>
        <w:t xml:space="preserve">统计独立时的聚合</w:t>
      </w:r>
    </w:p>
    <w:p>
      <w:pPr>
        <w:pStyle w:val="FirstParagraph"/>
      </w:pPr>
      <m:oMathPara>
        <m:oMathParaPr>
          <m:jc m:val="center"/>
        </m:oMathParaPr>
        <m:oMath>
          <m:r>
            <m:t>P</m:t>
          </m:r>
          <m:r>
            <m:t>D</m:t>
          </m:r>
          <m:sSub>
            <m:e>
              <m:r>
                <m:t>C</m:t>
              </m:r>
            </m:e>
            <m:sub>
              <m:r>
                <m:rPr>
                  <m:sty m:val="p"/>
                </m:rPr>
                <m:t>a</m:t>
              </m:r>
              <m:r>
                <m:rPr>
                  <m:sty m:val="p"/>
                </m:rPr>
                <m:t>g</m:t>
              </m:r>
              <m:r>
                <m:rPr>
                  <m:sty m:val="p"/>
                </m:rPr>
                <m:t>g</m:t>
              </m:r>
            </m:sub>
          </m:sSub>
          <m:r>
            <m:rPr>
              <m:sty m:val="p"/>
            </m:rPr>
            <m:t>=</m:t>
          </m:r>
          <m:r>
            <m:t>1</m:t>
          </m:r>
          <m:r>
            <m:rPr>
              <m:sty m:val="p"/>
            </m:rPr>
            <m:t>−</m:t>
          </m:r>
          <m:nary>
            <m:naryPr>
              <m:chr m:val="∏"/>
              <m:limLoc m:val="undOvr"/>
              <m:subHide m:val="off"/>
              <m:supHide m:val="on"/>
            </m:naryPr>
            <m:sub>
              <m:r>
                <m:t>i</m:t>
              </m:r>
            </m:sub>
            <m:sup>
              <m:r>
                <m:t>​</m:t>
              </m:r>
            </m:sup>
            <m:e>
              <m:r>
                <m:rPr>
                  <m:sty m:val="p"/>
                </m:rPr>
                <m:t>(</m:t>
              </m:r>
            </m:e>
          </m:nary>
          <m:r>
            <m:t>1</m:t>
          </m:r>
          <m:r>
            <m:rPr>
              <m:sty m:val="p"/>
            </m:rPr>
            <m:t>−</m:t>
          </m:r>
          <m:r>
            <m:t>P</m:t>
          </m:r>
          <m:r>
            <m:t>D</m:t>
          </m:r>
          <m:sSub>
            <m:e>
              <m:r>
                <m:t>C</m:t>
              </m:r>
            </m:e>
            <m:sub>
              <m:r>
                <m:t>i</m:t>
              </m:r>
            </m:sub>
          </m:sSub>
          <m:r>
            <m:rPr>
              <m:sty m:val="p"/>
            </m:rPr>
            <m:t>)</m:t>
          </m:r>
          <m:r>
            <m:rPr>
              <m:sty m:val="p"/>
            </m:rPr>
            <m:t>,</m:t>
          </m:r>
          <m:r>
            <m:t>  </m:t>
          </m:r>
          <m:sSub>
            <m:e>
              <m:r>
                <m:t>R</m:t>
              </m:r>
            </m:e>
            <m:sub>
              <m:r>
                <m:t>I</m:t>
              </m:r>
              <m:r>
                <m:rPr>
                  <m:sty m:val="p"/>
                </m:rPr>
                <m:t>,</m:t>
              </m:r>
              <m:r>
                <m:rPr>
                  <m:sty m:val="p"/>
                </m:rPr>
                <m:t>a</m:t>
              </m:r>
              <m:r>
                <m:rPr>
                  <m:sty m:val="p"/>
                </m:rPr>
                <m:t>g</m:t>
              </m:r>
              <m:r>
                <m:rPr>
                  <m:sty m:val="p"/>
                </m:rPr>
                <m:t>g</m:t>
              </m:r>
            </m:sub>
          </m:sSub>
          <m:r>
            <m:rPr>
              <m:sty m:val="p"/>
            </m:rPr>
            <m:t>=</m:t>
          </m:r>
          <m:nary>
            <m:naryPr>
              <m:chr m:val="∑"/>
              <m:limLoc m:val="undOvr"/>
              <m:subHide m:val="off"/>
              <m:supHide m:val="on"/>
            </m:naryPr>
            <m:sub>
              <m:r>
                <m:t>i</m:t>
              </m:r>
            </m:sub>
            <m:sup>
              <m:r>
                <m:t>​</m:t>
              </m:r>
            </m:sup>
            <m:e>
              <m:sSub>
                <m:e>
                  <m:r>
                    <m:t>R</m:t>
                  </m:r>
                </m:e>
                <m:sub>
                  <m:r>
                    <m:t>I</m:t>
                  </m:r>
                  <m:r>
                    <m:rPr>
                      <m:sty m:val="p"/>
                    </m:rPr>
                    <m:t>,</m:t>
                  </m:r>
                  <m:r>
                    <m:t>i</m:t>
                  </m:r>
                </m:sub>
              </m:sSub>
            </m:e>
          </m:nary>
          <m:r>
            <m:rPr>
              <m:sty m:val="p"/>
            </m:rPr>
            <m:t>.</m:t>
          </m:r>
        </m:oMath>
      </m:oMathPara>
    </w:p>
    <w:p>
      <w:pPr>
        <w:pStyle w:val="FirstParagraph"/>
      </w:pPr>
      <w:r>
        <w:rPr>
          <w:rFonts w:hint="eastAsia"/>
        </w:rPr>
        <w:t xml:space="preserve">M.2220明确这一PDC形式依赖统计独立性。同步、相关调度、固定相位或重复脉组场景宜使用联合时序，或扫描相对时序不确定性。[R4]</w:t>
      </w:r>
    </w:p>
    <w:p>
      <w:pPr>
        <w:pStyle w:val="BodyText"/>
      </w:pPr>
      <w:r>
        <w:rPr>
          <w:rFonts w:hint="eastAsia"/>
        </w:rPr>
        <w:t xml:space="preserve">平均不相关功率在线性域求和；瞬时峰值和非线性响应考虑同时到达及波形。总劣化一般应从聚合参数重新计算，不应任意把单源劣化dB直接相加。</w:t>
      </w:r>
    </w:p>
    <w:bookmarkEnd w:id="55"/>
    <w:bookmarkStart w:id="56" w:name="选择与设备一致的接收机分支"/>
    <w:p>
      <w:pPr>
        <w:pStyle w:val="Heading2"/>
      </w:pPr>
      <w:r>
        <w:t xml:space="preserve">9.3　</w:t>
      </w:r>
      <w:r>
        <w:rPr>
          <w:rFonts w:hint="eastAsia"/>
        </w:rPr>
        <w:t xml:space="preserve">选择与设备一致的接收机分支</w:t>
      </w:r>
    </w:p>
    <w:p>
      <w:pPr>
        <w:pStyle w:val="FirstParagraph"/>
      </w:pPr>
      <w:r>
        <w:rPr>
          <w:rFonts w:hint="eastAsia"/>
        </w:rPr>
        <w:t xml:space="preserve">定义</w:t>
      </w:r>
      <w:r>
        <w:t xml:space="preserve"> </w:t>
      </w:r>
      <m:oMath>
        <m:r>
          <m:t>a</m:t>
        </m:r>
        <m:r>
          <m:rPr>
            <m:sty m:val="p"/>
          </m:rPr>
          <m:t>=</m:t>
        </m:r>
        <m:sSub>
          <m:e>
            <m:r>
              <m:t>I</m:t>
            </m:r>
          </m:e>
          <m:sub>
            <m:r>
              <m:t>0</m:t>
            </m:r>
            <m:r>
              <m:rPr>
                <m:sty m:val="p"/>
              </m:rPr>
              <m:t>,</m:t>
            </m:r>
            <m:r>
              <m:rPr>
                <m:sty m:val="p"/>
              </m:rPr>
              <m:t>W</m:t>
            </m:r>
            <m:r>
              <m:rPr>
                <m:sty m:val="p"/>
              </m:rPr>
              <m:t>B</m:t>
            </m:r>
          </m:sub>
        </m:sSub>
        <m:r>
          <m:rPr>
            <m:sty m:val="p"/>
          </m:rPr>
          <m:t>/</m:t>
        </m:r>
        <m:sSub>
          <m:e>
            <m:r>
              <m:t>N</m:t>
            </m:r>
          </m:e>
          <m:sub>
            <m:r>
              <m:t>0</m:t>
            </m:r>
          </m:sub>
        </m:sSub>
      </m:oMath>
      <w:r>
        <w:t xml:space="preserve">、</w:t>
      </w:r>
      <m:oMath>
        <m:r>
          <m:t>p</m:t>
        </m:r>
        <m:r>
          <m:rPr>
            <m:sty m:val="p"/>
          </m:rPr>
          <m:t>=</m:t>
        </m:r>
        <m:r>
          <m:t>P</m:t>
        </m:r>
        <m:r>
          <m:t>D</m:t>
        </m:r>
        <m:r>
          <m:t>C</m:t>
        </m:r>
      </m:oMath>
      <w:r>
        <w:t xml:space="preserve">、</w:t>
      </w:r>
      <m:oMath>
        <m:r>
          <m:t>r</m:t>
        </m:r>
        <m:r>
          <m:rPr>
            <m:sty m:val="p"/>
          </m:rPr>
          <m:t>=</m:t>
        </m:r>
        <m:sSub>
          <m:e>
            <m:r>
              <m:t>R</m:t>
            </m:r>
          </m:e>
          <m:sub>
            <m:r>
              <m:t>I</m:t>
            </m:r>
          </m:sub>
        </m:sSub>
      </m:oMath>
      <w:r>
        <w:t xml:space="preserve">。</w:t>
      </w:r>
    </w:p>
    <w:p>
      <w:pPr>
        <w:pStyle w:val="BodyText"/>
      </w:pPr>
      <w:r>
        <w:rPr>
          <w:rFonts w:hint="eastAsia"/>
        </w:rPr>
        <w:t xml:space="preserve">理想脉冲消隐模型：</w:t>
      </w:r>
    </w:p>
    <w:p>
      <w:pPr>
        <w:pStyle w:val="BodyText"/>
      </w:pPr>
      <m:oMathPara>
        <m:oMathParaPr>
          <m:jc m:val="center"/>
        </m:oMathParaPr>
        <m:oMath>
          <m:sSub>
            <m:e>
              <m:r>
                <m:t>N</m:t>
              </m:r>
            </m:e>
            <m:sub>
              <m:r>
                <m:t>0</m:t>
              </m:r>
              <m:r>
                <m:rPr>
                  <m:sty m:val="p"/>
                </m:rPr>
                <m:t>,</m:t>
              </m:r>
              <m:r>
                <m:rPr>
                  <m:sty m:val="p"/>
                </m:rPr>
                <m:t>E</m:t>
              </m:r>
              <m:r>
                <m:rPr>
                  <m:sty m:val="p"/>
                </m:rPr>
                <m:t>F</m:t>
              </m:r>
              <m:r>
                <m:rPr>
                  <m:sty m:val="p"/>
                </m:rPr>
                <m:t>F</m:t>
              </m:r>
            </m:sub>
          </m:sSub>
          <m:r>
            <m:rPr>
              <m:sty m:val="p"/>
            </m:rPr>
            <m:t>=</m:t>
          </m:r>
          <m:sSub>
            <m:e>
              <m:r>
                <m:t>N</m:t>
              </m:r>
            </m:e>
            <m:sub>
              <m:r>
                <m:t>0</m:t>
              </m:r>
            </m:sub>
          </m:sSub>
          <m:f>
            <m:fPr>
              <m:type m:val="bar"/>
            </m:fPr>
            <m:num>
              <m:r>
                <m:t>1</m:t>
              </m:r>
              <m:r>
                <m:rPr>
                  <m:sty m:val="p"/>
                </m:rPr>
                <m:t>+</m:t>
              </m:r>
              <m:r>
                <m:t>a</m:t>
              </m:r>
              <m:r>
                <m:rPr>
                  <m:sty m:val="p"/>
                </m:rPr>
                <m:t>+</m:t>
              </m:r>
              <m:r>
                <m:t>r</m:t>
              </m:r>
            </m:num>
            <m:den>
              <m:r>
                <m:t>1</m:t>
              </m:r>
              <m:r>
                <m:rPr>
                  <m:sty m:val="p"/>
                </m:rPr>
                <m:t>−</m:t>
              </m:r>
              <m:r>
                <m:t>p</m:t>
              </m:r>
            </m:den>
          </m:f>
          <m:r>
            <m:rPr>
              <m:sty m:val="p"/>
            </m:rPr>
            <m:t>.</m:t>
          </m:r>
        </m:oMath>
      </m:oMathPara>
    </w:p>
    <w:p>
      <w:pPr>
        <w:pStyle w:val="FirstParagraph"/>
      </w:pPr>
      <w:r>
        <w:rPr>
          <w:rFonts w:hint="eastAsia"/>
        </w:rPr>
        <w:t xml:space="preserve">M.2030饱和模型的等价整理形式：</w:t>
      </w:r>
    </w:p>
    <w:p>
      <w:pPr>
        <w:pStyle w:val="BodyText"/>
      </w:pPr>
      <m:oMathPara>
        <m:oMathParaPr>
          <m:jc m:val="center"/>
        </m:oMathParaPr>
        <m:oMath>
          <m:sSub>
            <m:e>
              <m:r>
                <m:t>N</m:t>
              </m:r>
            </m:e>
            <m:sub>
              <m:r>
                <m:t>0</m:t>
              </m:r>
              <m:r>
                <m:rPr>
                  <m:sty m:val="p"/>
                </m:rPr>
                <m:t>,</m:t>
              </m:r>
              <m:r>
                <m:rPr>
                  <m:sty m:val="p"/>
                </m:rPr>
                <m:t>E</m:t>
              </m:r>
              <m:r>
                <m:rPr>
                  <m:sty m:val="p"/>
                </m:rPr>
                <m:t>F</m:t>
              </m:r>
              <m:r>
                <m:rPr>
                  <m:sty m:val="p"/>
                </m:rPr>
                <m:t>F</m:t>
              </m:r>
            </m:sub>
          </m:sSub>
          <m:r>
            <m:rPr>
              <m:sty m:val="p"/>
            </m:rPr>
            <m:t>=</m:t>
          </m:r>
          <m:sSub>
            <m:e>
              <m:r>
                <m:t>N</m:t>
              </m:r>
            </m:e>
            <m:sub>
              <m:r>
                <m:t>0</m:t>
              </m:r>
            </m:sub>
          </m:sSub>
          <m:d>
            <m:dPr>
              <m:begChr m:val="["/>
              <m:sepChr m:val=""/>
              <m:endChr m:val="]"/>
              <m:grow/>
            </m:dPr>
            <m:e>
              <m:f>
                <m:fPr>
                  <m:type m:val="bar"/>
                </m:fPr>
                <m:num>
                  <m:r>
                    <m:rPr>
                      <m:sty m:val="p"/>
                    </m:rPr>
                    <m:t>(</m:t>
                  </m:r>
                  <m:r>
                    <m:t>1</m:t>
                  </m:r>
                  <m:r>
                    <m:rPr>
                      <m:sty m:val="p"/>
                    </m:rPr>
                    <m:t>+</m:t>
                  </m:r>
                  <m:r>
                    <m:t>a</m:t>
                  </m:r>
                  <m:r>
                    <m:rPr>
                      <m:sty m:val="p"/>
                    </m:rPr>
                    <m:t>)</m:t>
                  </m:r>
                  <m:r>
                    <m:rPr>
                      <m:sty m:val="p"/>
                    </m:rPr>
                    <m:t>(</m:t>
                  </m:r>
                  <m:r>
                    <m:t>1</m:t>
                  </m:r>
                  <m:r>
                    <m:rPr>
                      <m:sty m:val="p"/>
                    </m:rPr>
                    <m:t>−</m:t>
                  </m:r>
                  <m:r>
                    <m:t>p</m:t>
                  </m:r>
                  <m:r>
                    <m:rPr>
                      <m:sty m:val="p"/>
                    </m:rPr>
                    <m:t>+</m:t>
                  </m:r>
                  <m:sSubSup>
                    <m:e>
                      <m:r>
                        <m:t>N</m:t>
                      </m:r>
                    </m:e>
                    <m:sub>
                      <m:r>
                        <m:rPr>
                          <m:sty m:val="p"/>
                        </m:rPr>
                        <m:t>L</m:t>
                      </m:r>
                      <m:r>
                        <m:rPr>
                          <m:sty m:val="p"/>
                        </m:rPr>
                        <m:t>I</m:t>
                      </m:r>
                      <m:r>
                        <m:rPr>
                          <m:sty m:val="p"/>
                        </m:rPr>
                        <m:t>M</m:t>
                      </m:r>
                    </m:sub>
                    <m:sup>
                      <m:r>
                        <m:t>2</m:t>
                      </m:r>
                    </m:sup>
                  </m:sSubSup>
                  <m:r>
                    <m:t>p</m:t>
                  </m:r>
                  <m:r>
                    <m:rPr>
                      <m:sty m:val="p"/>
                    </m:rPr>
                    <m:t>)</m:t>
                  </m:r>
                </m:num>
                <m:den>
                  <m:r>
                    <m:rPr>
                      <m:sty m:val="p"/>
                    </m:rPr>
                    <m:t>(</m:t>
                  </m:r>
                  <m:r>
                    <m:t>1</m:t>
                  </m:r>
                  <m:r>
                    <m:rPr>
                      <m:sty m:val="p"/>
                    </m:rPr>
                    <m:t>−</m:t>
                  </m:r>
                  <m:r>
                    <m:t>p</m:t>
                  </m:r>
                  <m:sSup>
                    <m:e>
                      <m:r>
                        <m:rPr>
                          <m:sty m:val="p"/>
                        </m:rPr>
                        <m:t>)</m:t>
                      </m:r>
                    </m:e>
                    <m:sup>
                      <m:r>
                        <m:t>2</m:t>
                      </m:r>
                    </m:sup>
                  </m:sSup>
                </m:den>
              </m:f>
              <m:r>
                <m:rPr>
                  <m:sty m:val="p"/>
                </m:rPr>
                <m:t>+</m:t>
              </m:r>
              <m:f>
                <m:fPr>
                  <m:type m:val="bar"/>
                </m:fPr>
                <m:num>
                  <m:r>
                    <m:t>r</m:t>
                  </m:r>
                </m:num>
                <m:den>
                  <m:r>
                    <m:t>1</m:t>
                  </m:r>
                  <m:r>
                    <m:rPr>
                      <m:sty m:val="p"/>
                    </m:rPr>
                    <m:t>−</m:t>
                  </m:r>
                  <m:r>
                    <m:t>p</m:t>
                  </m:r>
                </m:den>
              </m:f>
            </m:e>
          </m:d>
          <m:r>
            <m:rPr>
              <m:sty m:val="p"/>
            </m:rPr>
            <m:t>.</m:t>
          </m:r>
        </m:oMath>
      </m:oMathPara>
    </w:p>
    <w:p>
      <w:pPr>
        <w:pStyle w:val="FirstParagraph"/>
      </w:pPr>
      <w:r>
        <w:rPr>
          <w:rFonts w:hint="eastAsia"/>
        </w:rPr>
        <w:t xml:space="preserve">应同时核对原式和参数定义，不能因为某个分支给出的数值小就选择它。[R3，附件1</w:t>
      </w:r>
      <w:r>
        <w:t xml:space="preserve"> §2.1–2.3]</w:t>
      </w:r>
    </w:p>
    <w:p>
      <w:pPr>
        <w:pStyle w:val="BodyText"/>
      </w:pPr>
      <w:r>
        <w:rPr>
          <w:rFonts w:hint="eastAsia"/>
        </w:rPr>
        <w:t xml:space="preserve">新增劣化：</w:t>
      </w:r>
    </w:p>
    <w:p>
      <w:pPr>
        <w:pStyle w:val="BodyText"/>
      </w:pPr>
      <m:oMathPara>
        <m:oMathParaPr>
          <m:jc m:val="center"/>
        </m:oMathParaPr>
        <m:oMath>
          <m:r>
            <m:t>D</m:t>
          </m:r>
          <m:r>
            <m:rPr>
              <m:sty m:val="p"/>
            </m:rPr>
            <m:t>(</m:t>
          </m:r>
          <m:r>
            <m:t>t</m:t>
          </m:r>
          <m:r>
            <m:rPr>
              <m:sty m:val="p"/>
            </m:rPr>
            <m:t>)</m:t>
          </m:r>
          <m:r>
            <m:rPr>
              <m:sty m:val="p"/>
            </m:rPr>
            <m:t>=</m:t>
          </m:r>
          <m:r>
            <m:t>10</m:t>
          </m:r>
          <m:sSub>
            <m:e>
              <m:r>
                <m:rPr>
                  <m:sty m:val="p"/>
                </m:rPr>
                <m:t>log</m:t>
              </m:r>
            </m:e>
            <m:sub>
              <m:r>
                <m:t>10</m:t>
              </m:r>
            </m:sub>
          </m:sSub>
          <m:f>
            <m:fPr>
              <m:type m:val="bar"/>
            </m:fPr>
            <m:num>
              <m:sSub>
                <m:e>
                  <m:r>
                    <m:t>N</m:t>
                  </m:r>
                </m:e>
                <m:sub>
                  <m:r>
                    <m:t>0</m:t>
                  </m:r>
                  <m:r>
                    <m:rPr>
                      <m:sty m:val="p"/>
                    </m:rPr>
                    <m:t>,</m:t>
                  </m:r>
                  <m:r>
                    <m:rPr>
                      <m:sty m:val="p"/>
                    </m:rPr>
                    <m:t>E</m:t>
                  </m:r>
                  <m:r>
                    <m:rPr>
                      <m:sty m:val="p"/>
                    </m:rPr>
                    <m:t>F</m:t>
                  </m:r>
                  <m:r>
                    <m:rPr>
                      <m:sty m:val="p"/>
                    </m:rPr>
                    <m:t>F</m:t>
                  </m:r>
                  <m:r>
                    <m:rPr>
                      <m:sty m:val="p"/>
                    </m:rPr>
                    <m:t>,</m:t>
                  </m:r>
                  <m:r>
                    <m:rPr>
                      <m:sty m:val="p"/>
                    </m:rPr>
                    <m:t>n</m:t>
                  </m:r>
                  <m:r>
                    <m:rPr>
                      <m:sty m:val="p"/>
                    </m:rPr>
                    <m:t>e</m:t>
                  </m:r>
                  <m:r>
                    <m:rPr>
                      <m:sty m:val="p"/>
                    </m:rPr>
                    <m:t>w</m:t>
                  </m:r>
                </m:sub>
              </m:sSub>
              <m:r>
                <m:rPr>
                  <m:sty m:val="p"/>
                </m:rPr>
                <m:t>(</m:t>
              </m:r>
              <m:r>
                <m:t>t</m:t>
              </m:r>
              <m:r>
                <m:rPr>
                  <m:sty m:val="p"/>
                </m:rPr>
                <m:t>)</m:t>
              </m:r>
            </m:num>
            <m:den>
              <m:sSub>
                <m:e>
                  <m:r>
                    <m:t>N</m:t>
                  </m:r>
                </m:e>
                <m:sub>
                  <m:r>
                    <m:t>0</m:t>
                  </m:r>
                  <m:r>
                    <m:rPr>
                      <m:sty m:val="p"/>
                    </m:rPr>
                    <m:t>,</m:t>
                  </m:r>
                  <m:r>
                    <m:rPr>
                      <m:sty m:val="p"/>
                    </m:rPr>
                    <m:t>E</m:t>
                  </m:r>
                  <m:r>
                    <m:rPr>
                      <m:sty m:val="p"/>
                    </m:rPr>
                    <m:t>F</m:t>
                  </m:r>
                  <m:r>
                    <m:rPr>
                      <m:sty m:val="p"/>
                    </m:rPr>
                    <m:t>F</m:t>
                  </m:r>
                  <m:r>
                    <m:rPr>
                      <m:sty m:val="p"/>
                    </m:rPr>
                    <m:t>,</m:t>
                  </m:r>
                  <m:r>
                    <m:rPr>
                      <m:sty m:val="p"/>
                    </m:rPr>
                    <m:t>b</m:t>
                  </m:r>
                  <m:r>
                    <m:rPr>
                      <m:sty m:val="p"/>
                    </m:rPr>
                    <m:t>a</m:t>
                  </m:r>
                  <m:r>
                    <m:rPr>
                      <m:sty m:val="p"/>
                    </m:rPr>
                    <m:t>s</m:t>
                  </m:r>
                  <m:r>
                    <m:rPr>
                      <m:sty m:val="p"/>
                    </m:rPr>
                    <m:t>e</m:t>
                  </m:r>
                </m:sub>
              </m:sSub>
              <m:r>
                <m:rPr>
                  <m:sty m:val="p"/>
                </m:rPr>
                <m:t>(</m:t>
              </m:r>
              <m:r>
                <m:t>t</m:t>
              </m:r>
              <m:r>
                <m:rPr>
                  <m:sty m:val="p"/>
                </m:rPr>
                <m:t>)</m:t>
              </m:r>
            </m:den>
          </m:f>
          <m:r>
            <m:rPr>
              <m:sty m:val="p"/>
            </m:rPr>
            <m:t>.</m:t>
          </m:r>
        </m:oMath>
      </m:oMathPara>
    </w:p>
    <w:p>
      <w:pPr>
        <w:pStyle w:val="FirstParagraph"/>
      </w:pPr>
      <w:r>
        <w:rPr>
          <w:rFonts w:hint="eastAsia"/>
        </w:rPr>
        <w:t xml:space="preserve">前后保持噪声参考面、设备状态、基线定义和比较窗口一致。</w:t>
      </w:r>
    </w:p>
    <w:bookmarkEnd w:id="56"/>
    <w:bookmarkStart w:id="57" w:name="硬限幅特例的关键解释"/>
    <w:p>
      <w:pPr>
        <w:pStyle w:val="Heading2"/>
      </w:pPr>
      <w:r>
        <w:t xml:space="preserve">9.4　</w:t>
      </w:r>
      <w:r>
        <w:rPr>
          <w:rFonts w:hint="eastAsia"/>
        </w:rPr>
        <w:t xml:space="preserve">硬限幅特例的关键解释</w:t>
      </w:r>
    </w:p>
    <w:p>
      <w:pPr>
        <w:pStyle w:val="FirstParagraph"/>
      </w:pPr>
      <w:r>
        <w:rPr>
          <w:rFonts w:hint="eastAsia"/>
        </w:rPr>
        <w:t xml:space="preserve">当</w:t>
      </w:r>
      <w:r>
        <w:t xml:space="preserve"> </w:t>
      </w:r>
      <m:oMath>
        <m:sSub>
          <m:e>
            <m:r>
              <m:t>N</m:t>
            </m:r>
          </m:e>
          <m:sub>
            <m:r>
              <m:rPr>
                <m:sty m:val="p"/>
              </m:rPr>
              <m:t>L</m:t>
            </m:r>
            <m:r>
              <m:rPr>
                <m:sty m:val="p"/>
              </m:rPr>
              <m:t>I</m:t>
            </m:r>
            <m:r>
              <m:rPr>
                <m:sty m:val="p"/>
              </m:rPr>
              <m:t>M</m:t>
            </m:r>
          </m:sub>
        </m:sSub>
        <m:r>
          <m:rPr>
            <m:sty m:val="p"/>
          </m:rPr>
          <m:t>=</m:t>
        </m:r>
        <m:r>
          <m:t>1</m:t>
        </m:r>
      </m:oMath>
      <w:r>
        <w:t xml:space="preserve"> </w:t>
      </w:r>
      <w:r>
        <w:rPr>
          <w:rFonts w:hint="eastAsia"/>
        </w:rPr>
        <w:t xml:space="preserve">且</w:t>
      </w:r>
      <w:r>
        <w:t xml:space="preserve"> </w:t>
      </w:r>
      <m:oMath>
        <m:sSub>
          <m:e>
            <m:r>
              <m:t>R</m:t>
            </m:r>
          </m:e>
          <m:sub>
            <m:r>
              <m:t>I</m:t>
            </m:r>
          </m:sub>
        </m:sSub>
        <m:r>
          <m:rPr>
            <m:sty m:val="p"/>
          </m:rPr>
          <m:t>≃</m:t>
        </m:r>
        <m:sSub>
          <m:e>
            <m:r>
              <m:t>R</m:t>
            </m:r>
          </m:e>
          <m:sub>
            <m:r>
              <m:t>Y</m:t>
            </m:r>
          </m:sub>
        </m:sSub>
        <m:r>
          <m:rPr>
            <m:sty m:val="p"/>
          </m:rPr>
          <m:t>≃</m:t>
        </m:r>
        <m:r>
          <m:t>0</m:t>
        </m:r>
      </m:oMath>
      <w:r>
        <w:rPr>
          <w:rFonts w:hint="eastAsia"/>
        </w:rPr>
        <w:t xml:space="preserve">，在标准规定条件下：</w:t>
      </w:r>
    </w:p>
    <w:p>
      <w:pPr>
        <w:pStyle w:val="BodyText"/>
      </w:pPr>
      <m:oMathPara>
        <m:oMathParaPr>
          <m:jc m:val="center"/>
        </m:oMathParaPr>
        <m:oMath>
          <m:r>
            <m:t>D</m:t>
          </m:r>
          <m:r>
            <m:rPr>
              <m:sty m:val="p"/>
            </m:rPr>
            <m:t>=</m:t>
          </m:r>
          <m:r>
            <m:rPr>
              <m:sty m:val="p"/>
            </m:rPr>
            <m:t>−</m:t>
          </m:r>
          <m:r>
            <m:t>20</m:t>
          </m:r>
          <m:sSub>
            <m:e>
              <m:r>
                <m:rPr>
                  <m:sty m:val="p"/>
                </m:rPr>
                <m:t>log</m:t>
              </m:r>
            </m:e>
            <m:sub>
              <m:r>
                <m:t>10</m:t>
              </m:r>
            </m:sub>
          </m:sSub>
          <m:r>
            <m:rPr>
              <m:sty m:val="p"/>
            </m:rPr>
            <m:t>(</m:t>
          </m:r>
          <m:r>
            <m:t>1</m:t>
          </m:r>
          <m:r>
            <m:rPr>
              <m:sty m:val="p"/>
            </m:rPr>
            <m:t>−</m:t>
          </m:r>
          <m:r>
            <m:t>P</m:t>
          </m:r>
          <m:r>
            <m:t>D</m:t>
          </m:r>
          <m:sSub>
            <m:e>
              <m:r>
                <m:t>C</m:t>
              </m:r>
            </m:e>
            <m:sub>
              <m:r>
                <m:t>Y</m:t>
              </m:r>
            </m:sub>
          </m:sSub>
          <m:r>
            <m:rPr>
              <m:sty m:val="p"/>
            </m:rPr>
            <m:t>)</m:t>
          </m:r>
          <m:r>
            <m:rPr>
              <m:sty m:val="p"/>
            </m:rPr>
            <m:t>.</m:t>
          </m:r>
        </m:oMath>
      </m:oMathPara>
    </w:p>
    <w:p>
      <w:pPr>
        <w:pStyle w:val="FirstParagraph"/>
      </w:pPr>
      <w:r>
        <w:rPr>
          <w:rFonts w:hint="eastAsia"/>
        </w:rPr>
        <w:t xml:space="preserve">公共基线项在该增量比值中约掉。因此，实测背景PDC比代表值小，</w:t>
      </w:r>
      <w:r>
        <w:rPr>
          <w:rFonts w:hint="eastAsia"/>
          <w:b/>
          <w:bCs/>
        </w:rPr>
        <w:t xml:space="preserve">并不必然降低此特例中新源的增量劣化</w:t>
      </w:r>
      <w:r>
        <w:rPr>
          <w:rFonts w:hint="eastAsia"/>
        </w:rPr>
        <w:t xml:space="preserve">。不能把较好背景当成自动消除超限的理由。[R3，式(7a)]</w:t>
      </w:r>
    </w:p>
    <w:p>
      <w:pPr>
        <w:pStyle w:val="BodyText"/>
      </w:pPr>
      <w:r>
        <w:rPr>
          <w:rFonts w:hint="eastAsia"/>
        </w:rPr>
        <w:t xml:space="preserve">这里的等效噪声含信号损失的折算，不等于物理热噪声真的增加同样比例。</w:t>
      </w:r>
    </w:p>
    <w:p>
      <w:pPr>
        <w:pStyle w:val="BodyText"/>
      </w:pPr>
      <w:r>
        <w:rPr>
          <w:rFonts w:hint="eastAsia"/>
          <w:b/>
          <w:bCs/>
        </w:rPr>
        <w:t xml:space="preserve">交付物：基线、新增及聚合参数的时间历程，最坏事件定位。</w:t>
      </w:r>
    </w:p>
    <w:bookmarkEnd w:id="57"/>
    <w:bookmarkEnd w:id="58"/>
    <w:bookmarkStart w:id="62" w:name="分析窗口和事件统计"/>
    <w:p>
      <w:pPr>
        <w:pStyle w:val="Heading1"/>
      </w:pPr>
      <w:r>
        <w:t xml:space="preserve">10　</w:t>
      </w:r>
      <w:r>
        <w:rPr>
          <w:rFonts w:hint="eastAsia"/>
        </w:rPr>
        <w:t xml:space="preserve">分析窗口和事件统计</w:t>
      </w:r>
    </w:p>
    <w:bookmarkStart w:id="59" w:name="三种占空概念不可混用"/>
    <w:p>
      <w:pPr>
        <w:pStyle w:val="Heading2"/>
      </w:pPr>
      <w:r>
        <w:t xml:space="preserve">10.1　</w:t>
      </w:r>
      <w:r>
        <w:rPr>
          <w:rFonts w:hint="eastAsia"/>
        </w:rPr>
        <w:t xml:space="preserve">三种占空概念不可混用</w:t>
      </w:r>
    </w:p>
    <w:p>
      <w:pPr>
        <w:pStyle w:val="FirstParagraph"/>
      </w:pPr>
      <m:oMath>
        <m:sSub>
          <m:e>
            <m:r>
              <m:t>d</m:t>
            </m:r>
          </m:e>
          <m:sub>
            <m:r>
              <m:rPr>
                <m:sty m:val="p"/>
              </m:rPr>
              <m:t>t</m:t>
            </m:r>
            <m:r>
              <m:rPr>
                <m:sty m:val="p"/>
              </m:rPr>
              <m:t>x</m:t>
            </m:r>
          </m:sub>
        </m:sSub>
      </m:oMath>
      <w:r>
        <w:rPr>
          <w:rFonts w:hint="eastAsia"/>
        </w:rPr>
        <w:t xml:space="preserve">是雷达发射占空比；</w:t>
      </w:r>
      <m:oMath>
        <m:sSub>
          <m:e>
            <m:r>
              <m:t>p</m:t>
            </m:r>
          </m:e>
          <m:sub>
            <m:r>
              <m:rPr>
                <m:sty m:val="p"/>
              </m:rPr>
              <m:t>l</m:t>
            </m:r>
            <m:r>
              <m:rPr>
                <m:sty m:val="p"/>
              </m:rPr>
              <m:t>o</m:t>
            </m:r>
            <m:r>
              <m:rPr>
                <m:sty m:val="p"/>
              </m:rPr>
              <m:t>s</m:t>
            </m:r>
            <m:r>
              <m:rPr>
                <m:sty m:val="p"/>
              </m:rPr>
              <m:t>s</m:t>
            </m:r>
          </m:sub>
        </m:sSub>
      </m:oMath>
      <w:r>
        <w:rPr>
          <w:rFonts w:hint="eastAsia"/>
        </w:rPr>
        <w:t xml:space="preserve">是接收机实际损失时间比例；</w:t>
      </w:r>
      <m:oMath>
        <m:sSub>
          <m:e>
            <m:r>
              <m:t>d</m:t>
            </m:r>
          </m:e>
          <m:sub>
            <m:r>
              <m:rPr>
                <m:sty m:val="p"/>
              </m:rPr>
              <m:t>d</m:t>
            </m:r>
            <m:r>
              <m:rPr>
                <m:sty m:val="p"/>
              </m:rPr>
              <m:t>w</m:t>
            </m:r>
            <m:r>
              <m:rPr>
                <m:sty m:val="p"/>
              </m:rPr>
              <m:t>e</m:t>
            </m:r>
            <m:r>
              <m:rPr>
                <m:sty m:val="p"/>
              </m:rPr>
              <m:t>l</m:t>
            </m:r>
            <m:r>
              <m:rPr>
                <m:sty m:val="p"/>
              </m:rPr>
              <m:t>l</m:t>
            </m:r>
          </m:sub>
        </m:sSub>
      </m:oMath>
      <w:r>
        <w:rPr>
          <w:rFonts w:hint="eastAsia"/>
        </w:rPr>
        <w:t xml:space="preserve">是波束照射占统计周期的比例。</w:t>
      </w:r>
    </w:p>
    <w:p>
      <w:pPr>
        <w:pStyle w:val="BodyText"/>
      </w:pPr>
      <w:r>
        <w:rPr>
          <w:rFonts w:hint="eastAsia"/>
        </w:rPr>
        <w:t xml:space="preserve">不能未经验证用</w:t>
      </w:r>
      <w:r>
        <w:t xml:space="preserve"> </w:t>
      </w:r>
      <m:oMath>
        <m:sSub>
          <m:e>
            <m:r>
              <m:t>p</m:t>
            </m:r>
          </m:e>
          <m:sub>
            <m:r>
              <m:rPr>
                <m:sty m:val="p"/>
              </m:rPr>
              <m:t>l</m:t>
            </m:r>
            <m:r>
              <m:rPr>
                <m:sty m:val="p"/>
              </m:rPr>
              <m:t>o</m:t>
            </m:r>
            <m:r>
              <m:rPr>
                <m:sty m:val="p"/>
              </m:rPr>
              <m:t>s</m:t>
            </m:r>
            <m:r>
              <m:rPr>
                <m:sty m:val="p"/>
              </m:rPr>
              <m:t>s</m:t>
            </m:r>
          </m:sub>
        </m:sSub>
        <m:sSub>
          <m:e>
            <m:r>
              <m:t>d</m:t>
            </m:r>
          </m:e>
          <m:sub>
            <m:r>
              <m:rPr>
                <m:sty m:val="p"/>
              </m:rPr>
              <m:t>d</m:t>
            </m:r>
            <m:r>
              <m:rPr>
                <m:sty m:val="p"/>
              </m:rPr>
              <m:t>w</m:t>
            </m:r>
            <m:r>
              <m:rPr>
                <m:sty m:val="p"/>
              </m:rPr>
              <m:t>e</m:t>
            </m:r>
            <m:r>
              <m:rPr>
                <m:sty m:val="p"/>
              </m:rPr>
              <m:t>l</m:t>
            </m:r>
            <m:r>
              <m:rPr>
                <m:sty m:val="p"/>
              </m:rPr>
              <m:t>l</m:t>
            </m:r>
          </m:sub>
        </m:sSub>
      </m:oMath>
      <w:r>
        <w:t xml:space="preserve"> </w:t>
      </w:r>
      <w:r>
        <w:rPr>
          <w:rFonts w:hint="eastAsia"/>
        </w:rPr>
        <w:t xml:space="preserve">代替照射期间影响。M.2220的扫描折减有接收机条件，M.2496说明简单动态折减不适用于所有RNSS接收机。[R4，§4.1.4；R6]</w:t>
      </w:r>
    </w:p>
    <w:bookmarkEnd w:id="59"/>
    <w:bookmarkStart w:id="60" w:name="窗口选择"/>
    <w:p>
      <w:pPr>
        <w:pStyle w:val="Heading2"/>
      </w:pPr>
      <w:r>
        <w:t xml:space="preserve">10.2　</w:t>
      </w:r>
      <w:r>
        <w:rPr>
          <w:rFonts w:hint="eastAsia"/>
        </w:rPr>
        <w:t xml:space="preserve">窗口选择</w:t>
      </w:r>
    </w:p>
    <w:p>
      <w:pPr>
        <w:pStyle w:val="FirstParagraph"/>
      </w:pPr>
      <w:r>
        <w:rPr>
          <w:rFonts w:hint="eastAsia"/>
        </w:rPr>
        <w:t xml:space="preserve">解析窗口应包含足够多脉冲，同时几何、波束和接收机状态在窗口内近似平稳。短脉组、快速扫过、AGC持续恢复导致无法同时满足时，升级到事件或状态连续仿真，不任意延长窗口摊薄瞬态。</w:t>
      </w:r>
    </w:p>
    <w:bookmarkEnd w:id="60"/>
    <w:bookmarkStart w:id="61" w:name="必须输出的统计量"/>
    <w:p>
      <w:pPr>
        <w:pStyle w:val="Heading2"/>
      </w:pPr>
      <w:r>
        <w:t xml:space="preserve">10.3　</w:t>
      </w:r>
      <w:r>
        <w:rPr>
          <w:rFonts w:hint="eastAsia"/>
        </w:rPr>
        <w:t xml:space="preserve">必须输出的统计量</w:t>
      </w:r>
    </w:p>
    <w:tbl>
      <w:tblPr>
        <w:tblStyle w:val="Table"/>
        <w:tblW w:type="auto" w:w="0"/>
        <w:tblLayout w:type="fixed"/>
        <w:tblLook w:firstRow="1" w:lastRow="0" w:firstColumn="0" w:lastColumn="0" w:noHBand="0" w:noVBand="0" w:val="0020"/>
      </w:tblPr>
      <w:tblGrid>
        <w:gridCol w:w="3960"/>
        <w:gridCol w:w="3960"/>
      </w:tblGrid>
      <w:tr>
        <w:trPr>
          <w:tblHeader w:val="on"/>
          <w:cantSplit/>
          <w:tblHeader/>
        </w:trPr>
        <w:tc>
          <w:tcPr>
            <w:tcW w:type="dxa" w:w="4706"/>
            <w:tcMar>
              <w:top w:w="85" w:type="dxa"/>
              <w:left w:w="85" w:type="dxa"/>
              <w:bottom w:w="85" w:type="dxa"/>
              <w:right w:w="85" w:type="dxa"/>
            </w:tcMar>
            <w:shd w:fill="E9EFF6"/>
          </w:tcPr>
          <w:p>
            <w:pPr>
              <w:pStyle w:val="Compact"/>
              <w:spacing w:line="269" w:lineRule="auto" w:after="40"/>
            </w:pPr>
            <w:r>
              <w:rPr>
                <w:rFonts w:hint="eastAsia"/>
                <w:b/>
                <w:sz w:val="18"/>
              </w:rPr>
              <w:t xml:space="preserve">输出</w:t>
            </w:r>
          </w:p>
        </w:tc>
        <w:tc>
          <w:tcPr>
            <w:tcW w:type="dxa" w:w="4706"/>
            <w:tcMar>
              <w:top w:w="85" w:type="dxa"/>
              <w:left w:w="85" w:type="dxa"/>
              <w:bottom w:w="85" w:type="dxa"/>
              <w:right w:w="85" w:type="dxa"/>
            </w:tcMar>
            <w:shd w:fill="E9EFF6"/>
          </w:tcPr>
          <w:p>
            <w:pPr>
              <w:pStyle w:val="Compact"/>
              <w:spacing w:line="269" w:lineRule="auto" w:after="40"/>
            </w:pPr>
            <w:r>
              <w:rPr>
                <w:rFonts w:hint="eastAsia"/>
                <w:b/>
                <w:sz w:val="18"/>
              </w:rPr>
              <w:t xml:space="preserve">用途</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最大劣化与发生条件</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定位最危险工况</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超限总时间</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描述累计影响</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单次最长超限时间</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评估持续受扰</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事件次数和间隔</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区分偶发与周期性</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同时作用源数量</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找到聚合主因</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地理、高度、姿态分布</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找到不利用户条件</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干扰后的恢复时间</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判断影响是否延续</w:t>
            </w:r>
          </w:p>
        </w:tc>
      </w:tr>
    </w:tbl>
    <w:p>
      <w:pPr>
        <w:pStyle w:val="BodyText"/>
      </w:pPr>
      <w:r>
        <w:rPr>
          <w:rFonts w:hint="eastAsia"/>
        </w:rPr>
        <w:t xml:space="preserve">CDF/CCDF或时间百分比必须注明分母：全部任务时间、发射时间、可见时间或指定接收机状态时间。必要时并列给出。</w:t>
      </w:r>
    </w:p>
    <w:p>
      <w:pPr>
        <w:pStyle w:val="BodyText"/>
      </w:pPr>
      <w:r>
        <w:rPr>
          <w:rFonts w:hint="eastAsia"/>
        </w:rPr>
        <w:t xml:space="preserve">事件稀少或持续很短并不自动允许超过保护准则。详评仍应回到适用判据与共同确认的条件。[R1，做出建议4]</w:t>
      </w:r>
    </w:p>
    <w:bookmarkEnd w:id="61"/>
    <w:bookmarkEnd w:id="62"/>
    <w:bookmarkStart w:id="65" w:name="何时升级到接收机级仿真"/>
    <w:p>
      <w:pPr>
        <w:pStyle w:val="Heading1"/>
      </w:pPr>
      <w:r>
        <w:t xml:space="preserve">11　</w:t>
      </w:r>
      <w:r>
        <w:rPr>
          <w:rFonts w:hint="eastAsia"/>
        </w:rPr>
        <w:t xml:space="preserve">何时升级到接收机级仿真</w:t>
      </w:r>
    </w:p>
    <w:tbl>
      <w:tblPr>
        <w:tblStyle w:val="Table"/>
        <w:tblW w:type="auto" w:w="0"/>
        <w:tblLayout w:type="fixed"/>
        <w:tblLook w:firstRow="1" w:lastRow="0" w:firstColumn="0" w:lastColumn="0" w:noHBand="0" w:noVBand="0" w:val="0020"/>
      </w:tblPr>
      <w:tblGrid>
        <w:gridCol w:w="3960"/>
        <w:gridCol w:w="3960"/>
      </w:tblGrid>
      <w:tr>
        <w:trPr>
          <w:tblHeader w:val="on"/>
          <w:cantSplit/>
          <w:tblHeader/>
        </w:trPr>
        <w:tc>
          <w:tcPr>
            <w:tcW w:type="dxa" w:w="4706"/>
            <w:tcMar>
              <w:top w:w="85" w:type="dxa"/>
              <w:left w:w="85" w:type="dxa"/>
              <w:bottom w:w="85" w:type="dxa"/>
              <w:right w:w="85" w:type="dxa"/>
            </w:tcMar>
            <w:shd w:fill="E9EFF6"/>
          </w:tcPr>
          <w:p>
            <w:pPr>
              <w:pStyle w:val="Compact"/>
              <w:spacing w:line="269" w:lineRule="auto" w:after="40"/>
            </w:pPr>
            <w:r>
              <w:rPr>
                <w:rFonts w:hint="eastAsia"/>
                <w:b/>
                <w:sz w:val="18"/>
              </w:rPr>
              <w:t xml:space="preserve">触发条件</w:t>
            </w:r>
          </w:p>
        </w:tc>
        <w:tc>
          <w:tcPr>
            <w:tcW w:type="dxa" w:w="4706"/>
            <w:tcMar>
              <w:top w:w="85" w:type="dxa"/>
              <w:left w:w="85" w:type="dxa"/>
              <w:bottom w:w="85" w:type="dxa"/>
              <w:right w:w="85" w:type="dxa"/>
            </w:tcMar>
            <w:shd w:fill="E9EFF6"/>
          </w:tcPr>
          <w:p>
            <w:pPr>
              <w:pStyle w:val="Compact"/>
              <w:spacing w:line="269" w:lineRule="auto" w:after="40"/>
            </w:pPr>
            <w:r>
              <w:rPr>
                <w:rFonts w:hint="eastAsia"/>
                <w:b/>
                <w:sz w:val="18"/>
              </w:rPr>
              <w:t xml:space="preserve">为什么需要升级</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波形超出验证范围</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噪声等效模型可能失真</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门限或恢复未知</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强弱分类缺乏可靠输入</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跨脉冲AGC记忆</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固定恢复时间不够</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捕获/重捕获关键</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稳态跟踪不能代替捕获</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高度非均匀或相干频谱</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简单功率除带宽不充分</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多源联合过载</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单源聚合遗漏非线性</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结果接近门限</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小误差可能改变判定</w:t>
            </w:r>
          </w:p>
        </w:tc>
      </w:tr>
    </w:tbl>
    <w:p>
      <w:pPr>
        <w:pStyle w:val="BodyText"/>
      </w:pPr>
      <w:r>
        <w:rPr>
          <w:rFonts w:hint="eastAsia"/>
        </w:rPr>
        <w:t xml:space="preserve">M.2030附件1</w:t>
      </w:r>
      <w:r>
        <w:t xml:space="preserve"> </w:t>
      </w:r>
      <w:r>
        <w:rPr>
          <w:rFonts w:hint="eastAsia"/>
        </w:rPr>
        <w:t xml:space="preserve">§2.3说明了其脉宽、占空比和捕获状态的使用限制，不能认为所有波形均已等同验证。[R3]</w:t>
      </w:r>
    </w:p>
    <w:bookmarkStart w:id="63" w:name="接收机级处理链"/>
    <w:p>
      <w:pPr>
        <w:pStyle w:val="Heading2"/>
      </w:pPr>
      <w:r>
        <w:t xml:space="preserve">11.1　</w:t>
      </w:r>
      <w:r>
        <w:rPr>
          <w:rFonts w:hint="eastAsia"/>
        </w:rPr>
        <w:t xml:space="preserve">接收机级处理链</w:t>
      </w:r>
    </w:p>
    <w:p>
      <w:pPr>
        <w:pStyle w:val="FirstParagraph"/>
      </w:pPr>
      <w:r>
        <w:rPr>
          <w:rFonts w:hint="eastAsia"/>
        </w:rPr>
        <w:t xml:space="preserve">工程上可建模为：导航信号＋干扰＋噪声→RF/IF滤波→非线性与AGC→ADC→脉冲抑制→相关器→捕获/跟踪→导航输出。</w:t>
      </w:r>
    </w:p>
    <w:p>
      <w:pPr>
        <w:pStyle w:val="BodyText"/>
      </w:pPr>
      <w:r>
        <w:rPr>
          <w:rFonts w:hint="eastAsia"/>
        </w:rPr>
        <w:t xml:space="preserve">无需每个项目自行开发完整接收机；具有可观测内部状态的真实设备及受控回放也可用于验证。关键是使用真实或已验证的响应，而不是把一个预设损失直接施加在最终输出上。</w:t>
      </w:r>
    </w:p>
    <w:bookmarkEnd w:id="63"/>
    <w:bookmarkStart w:id="64" w:name="除了劣化比还看什么"/>
    <w:p>
      <w:pPr>
        <w:pStyle w:val="Heading2"/>
      </w:pPr>
      <w:r>
        <w:t xml:space="preserve">11.2　</w:t>
      </w:r>
      <w:r>
        <w:rPr>
          <w:rFonts w:hint="eastAsia"/>
        </w:rPr>
        <w:t xml:space="preserve">除了劣化比，还看什么</w:t>
      </w:r>
    </w:p>
    <w:p>
      <w:pPr>
        <w:pStyle w:val="FirstParagraph"/>
      </w:pPr>
      <w:r>
        <w:rPr>
          <w:rFonts w:hint="eastAsia"/>
        </w:rPr>
        <w:t xml:space="preserve">记录捕获成功率、捕获/重捕获时间、失锁、周跳、数据中断、伪距和载波相位残差、定位误差、恢复轨迹，以及AGC/削顶/消隐状态。上述是建议的验证指标，不在本文中另设统一保护值。</w:t>
      </w:r>
    </w:p>
    <w:p>
      <w:pPr>
        <w:pStyle w:val="BodyText"/>
      </w:pPr>
      <w:r>
        <w:t xml:space="preserve">0.2 </w:t>
      </w:r>
      <w:r>
        <w:rPr>
          <w:rFonts w:hint="eastAsia"/>
        </w:rPr>
        <w:t xml:space="preserve">dB不能直接换算成固定米数。观测量误差到定位误差还依赖处理方式、卫星几何和解算策略。</w:t>
      </w:r>
    </w:p>
    <w:bookmarkEnd w:id="64"/>
    <w:bookmarkEnd w:id="65"/>
    <w:bookmarkStart w:id="73" w:name="射频传导注入试验步骤"/>
    <w:p>
      <w:pPr>
        <w:pStyle w:val="Heading1"/>
      </w:pPr>
      <w:r>
        <w:t xml:space="preserve">12　</w:t>
      </w:r>
      <w:r>
        <w:rPr>
          <w:rFonts w:hint="eastAsia"/>
        </w:rPr>
        <w:t xml:space="preserve">射频传导注入试验步骤</w:t>
      </w:r>
    </w:p>
    <w:p>
      <w:pPr>
        <w:pStyle w:val="FirstParagraph"/>
      </w:pPr>
      <w:r>
        <w:rPr>
          <w:rFonts w:hint="eastAsia"/>
        </w:rPr>
        <w:t xml:space="preserve">本章是依据RS.2311、M.2496组织的工程试验流程，不是对其特定设备结果的普遍推广。[R6][R7]</w:t>
      </w:r>
    </w:p>
    <w:bookmarkStart w:id="66" w:name="受控连接与参考面"/>
    <w:p>
      <w:pPr>
        <w:pStyle w:val="Heading2"/>
      </w:pPr>
      <w:r>
        <w:t xml:space="preserve">12.1　</w:t>
      </w:r>
      <w:r>
        <w:rPr>
          <w:rFonts w:hint="eastAsia"/>
        </w:rPr>
        <w:t xml:space="preserve">受控连接与参考面</w:t>
      </w:r>
    </w:p>
    <w:p>
      <w:pPr>
        <w:pStyle w:val="FirstParagraph"/>
      </w:pPr>
      <w:r>
        <w:rPr>
          <w:rFonts w:hint="eastAsia"/>
        </w:rPr>
        <w:t xml:space="preserve">采用GNSS模拟器与雷达波形发生器，通过合路、衰减和校准链传导到受试机；在屏蔽或其他受控环境实施，避免外辐射。接入位置与仿真参考面一致。绕过了实际有源天线/LNA，就不能声称已验证被绕过部件。</w:t>
      </w:r>
    </w:p>
    <w:bookmarkEnd w:id="66"/>
    <w:bookmarkStart w:id="67" w:name="步骤一建立基线"/>
    <w:p>
      <w:pPr>
        <w:pStyle w:val="Heading2"/>
      </w:pPr>
      <w:r>
        <w:t xml:space="preserve">12.2　</w:t>
      </w:r>
      <w:r>
        <w:rPr>
          <w:rFonts w:hint="eastAsia"/>
        </w:rPr>
        <w:t xml:space="preserve">步骤一：建立基线</w:t>
      </w:r>
    </w:p>
    <w:p>
      <w:pPr>
        <w:pStyle w:val="FirstParagraph"/>
      </w:pPr>
      <w:r>
        <w:rPr>
          <w:rFonts w:hint="eastAsia"/>
        </w:rPr>
        <w:t xml:space="preserve">固定导航信号、信号强度、运行模式及环境，稳定后采集无新增干扰数据。已有背景干扰若被模拟，须在干扰开/关两组中一致保留。捕获、跟踪、重捕获分别定义。</w:t>
      </w:r>
    </w:p>
    <w:bookmarkEnd w:id="67"/>
    <w:bookmarkStart w:id="68" w:name="步骤二输入校准"/>
    <w:p>
      <w:pPr>
        <w:pStyle w:val="Heading2"/>
      </w:pPr>
      <w:r>
        <w:t xml:space="preserve">12.3　</w:t>
      </w:r>
      <w:r>
        <w:rPr>
          <w:rFonts w:hint="eastAsia"/>
        </w:rPr>
        <w:t xml:space="preserve">步骤二：输入校准</w:t>
      </w:r>
    </w:p>
    <w:p>
      <w:pPr>
        <w:pStyle w:val="FirstParagraph"/>
      </w:pPr>
      <w:r>
        <w:rPr>
          <w:rFonts w:hint="eastAsia"/>
        </w:rPr>
        <w:t xml:space="preserve">在接收参考面确认脉内峰值、脉宽、PRF、脉组、门控、中心频率、带宽、带外谱、脉间噪声，以及合路与线缆频响。确认发生器自身不削顶或产生未建模谱再生，不能只记录仪器面板设置。</w:t>
      </w:r>
    </w:p>
    <w:bookmarkEnd w:id="68"/>
    <w:bookmarkStart w:id="69" w:name="步骤三测接收机参数"/>
    <w:p>
      <w:pPr>
        <w:pStyle w:val="Heading2"/>
      </w:pPr>
      <w:r>
        <w:t xml:space="preserve">12.4　</w:t>
      </w:r>
      <w:r>
        <w:rPr>
          <w:rFonts w:hint="eastAsia"/>
        </w:rPr>
        <w:t xml:space="preserve">步骤三：测接收机参数</w:t>
      </w:r>
    </w:p>
    <w:p>
      <w:pPr>
        <w:pStyle w:val="FirstParagraph"/>
      </w:pPr>
      <w:r>
        <w:rPr>
          <w:rFonts w:hint="eastAsia"/>
        </w:rPr>
        <w:t xml:space="preserve">在设备允许输入范围内做受控扫描，观察饱和转折、AGC变化和恢复。M.2496附件1提供固定占空比、逐步改变功率确定饱和水平的思路。项目还应核实频率偏移、脉宽与重复率是否改变门限和恢复。[R6]</w:t>
      </w:r>
    </w:p>
    <w:bookmarkEnd w:id="69"/>
    <w:bookmarkStart w:id="70" w:name="步骤四动态危险事件回放"/>
    <w:p>
      <w:pPr>
        <w:pStyle w:val="Heading2"/>
      </w:pPr>
      <w:r>
        <w:t xml:space="preserve">12.5　</w:t>
      </w:r>
      <w:r>
        <w:rPr>
          <w:rFonts w:hint="eastAsia"/>
        </w:rPr>
        <w:t xml:space="preserve">步骤四：动态危险事件回放</w:t>
      </w:r>
    </w:p>
    <w:p>
      <w:pPr>
        <w:pStyle w:val="FirstParagraph"/>
      </w:pPr>
      <w:r>
        <w:rPr>
          <w:rFonts w:hint="eastAsia"/>
        </w:rPr>
        <w:t xml:space="preserve">从仿真提取代表性</w:t>
      </w:r>
      <w:r>
        <w:t xml:space="preserve"> </w:t>
      </w:r>
      <m:oMath>
        <m:sSub>
          <m:e>
            <m:r>
              <m:t>P</m:t>
            </m:r>
          </m:e>
          <m:sub>
            <m:r>
              <m:t>r</m:t>
            </m:r>
          </m:sub>
        </m:sSub>
        <m:r>
          <m:rPr>
            <m:sty m:val="p"/>
          </m:rPr>
          <m:t>(</m:t>
        </m:r>
        <m:r>
          <m:t>t</m:t>
        </m:r>
        <m:r>
          <m:rPr>
            <m:sty m:val="p"/>
          </m:rPr>
          <m:t>)</m:t>
        </m:r>
      </m:oMath>
      <w:r>
        <w:t xml:space="preserve">、</w:t>
      </w:r>
      <m:oMath>
        <m:sSub>
          <m:e>
            <m:r>
              <m:t>f</m:t>
            </m:r>
          </m:e>
          <m:sub>
            <m:r>
              <m:t>c</m:t>
            </m:r>
          </m:sub>
        </m:sSub>
        <m:r>
          <m:rPr>
            <m:sty m:val="p"/>
          </m:rPr>
          <m:t>(</m:t>
        </m:r>
        <m:r>
          <m:t>t</m:t>
        </m:r>
        <m:r>
          <m:rPr>
            <m:sty m:val="p"/>
          </m:rPr>
          <m:t>)</m:t>
        </m:r>
      </m:oMath>
      <w:r>
        <w:t xml:space="preserve">、</w:t>
      </w:r>
      <m:oMath>
        <m:r>
          <m:t>P</m:t>
        </m:r>
        <m:r>
          <m:t>W</m:t>
        </m:r>
        <m:r>
          <m:rPr>
            <m:sty m:val="p"/>
          </m:rPr>
          <m:t>(</m:t>
        </m:r>
        <m:r>
          <m:t>t</m:t>
        </m:r>
        <m:r>
          <m:rPr>
            <m:sty m:val="p"/>
          </m:rPr>
          <m:t>)</m:t>
        </m:r>
      </m:oMath>
      <w:r>
        <w:t xml:space="preserve">、</w:t>
      </w:r>
      <m:oMath>
        <m:r>
          <m:t>P</m:t>
        </m:r>
        <m:r>
          <m:t>R</m:t>
        </m:r>
        <m:r>
          <m:t>F</m:t>
        </m:r>
        <m:r>
          <m:rPr>
            <m:sty m:val="p"/>
          </m:rPr>
          <m:t>(</m:t>
        </m:r>
        <m:r>
          <m:t>t</m:t>
        </m:r>
        <m:r>
          <m:rPr>
            <m:sty m:val="p"/>
          </m:rPr>
          <m:t>)</m:t>
        </m:r>
      </m:oMath>
      <w:r>
        <w:t xml:space="preserve"> </w:t>
      </w:r>
      <w:r>
        <w:rPr>
          <w:rFonts w:hint="eastAsia"/>
        </w:rPr>
        <w:t xml:space="preserve">与门控，回放进入照射、最大耦合、退出和退出后恢复。不要只验证恒功率稳态。</w:t>
      </w:r>
    </w:p>
    <w:bookmarkEnd w:id="70"/>
    <w:bookmarkStart w:id="71" w:name="步骤五试验矩阵"/>
    <w:p>
      <w:pPr>
        <w:pStyle w:val="Heading2"/>
      </w:pPr>
      <w:r>
        <w:t xml:space="preserve">12.6　</w:t>
      </w:r>
      <w:r>
        <w:rPr>
          <w:rFonts w:hint="eastAsia"/>
        </w:rPr>
        <w:t xml:space="preserve">步骤五：试验矩阵</w:t>
      </w:r>
    </w:p>
    <w:tbl>
      <w:tblPr>
        <w:tblStyle w:val="Table"/>
        <w:tblW w:type="auto" w:w="0"/>
        <w:tblLayout w:type="fixed"/>
        <w:tblLook w:firstRow="1" w:lastRow="0" w:firstColumn="0" w:lastColumn="0" w:noHBand="0" w:noVBand="0" w:val="0020"/>
      </w:tblPr>
      <w:tblGrid>
        <w:gridCol w:w="2640"/>
        <w:gridCol w:w="2640"/>
        <w:gridCol w:w="2640"/>
      </w:tblGrid>
      <w:tr>
        <w:trPr>
          <w:tblHeader w:val="on"/>
          <w:cantSplit/>
          <w:tblHeader/>
        </w:trPr>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组别</w:t>
            </w:r>
          </w:p>
        </w:tc>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变量</w:t>
            </w:r>
          </w:p>
        </w:tc>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验证目的</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功率扫描</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弱、门限附近、强脉冲</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强弱分支及饱和</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频率扫描</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同频、边缘、邻频</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真实选择性与阻塞</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波形扫描</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脉宽、PRF、脉组</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PDC与恢复</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动态包络</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扫过、驻留、重访</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状态记忆及瞬态</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多源</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重叠、错开、相关时序</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聚合有效性</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工作状态</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捕获、跟踪、重捕获</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状态敏感性</w:t>
            </w:r>
          </w:p>
        </w:tc>
      </w:tr>
      <w:tr>
        <w:trPr>
          <w:cantSplit/>
        </w:trPr>
        <w:tc>
          <w:tcPr>
            <w:tcW w:type="dxa" w:w="3137"/>
            <w:tcMar>
              <w:top w:w="85" w:type="dxa"/>
              <w:left w:w="85" w:type="dxa"/>
              <w:bottom w:w="85" w:type="dxa"/>
              <w:right w:w="85" w:type="dxa"/>
            </w:tcMar>
          </w:tcPr>
          <w:p>
            <w:pPr>
              <w:pStyle w:val="Compact"/>
              <w:spacing w:line="269" w:lineRule="auto" w:after="40"/>
            </w:pPr>
            <w:r>
              <w:rPr>
                <w:rFonts w:hint="eastAsia"/>
                <w:sz w:val="18"/>
              </w:rPr>
              <w:t xml:space="preserve">设备差异</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样机、温度、软件模式</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可重复性和外推范围</w:t>
            </w:r>
          </w:p>
        </w:tc>
      </w:tr>
    </w:tbl>
    <w:bookmarkEnd w:id="71"/>
    <w:bookmarkStart w:id="72" w:name="步骤六配对对照和数据可靠性"/>
    <w:p>
      <w:pPr>
        <w:pStyle w:val="Heading2"/>
      </w:pPr>
      <w:r>
        <w:t xml:space="preserve">12.7　</w:t>
      </w:r>
      <w:r>
        <w:rPr>
          <w:rFonts w:hint="eastAsia"/>
        </w:rPr>
        <w:t xml:space="preserve">步骤六：配对对照和数据可靠性</w:t>
      </w:r>
    </w:p>
    <w:p>
      <w:pPr>
        <w:pStyle w:val="FirstParagraph"/>
      </w:pPr>
      <w:r>
        <w:rPr>
          <w:rFonts w:hint="eastAsia"/>
        </w:rPr>
        <w:t xml:space="preserve">使用相邻干扰关—开—关区间识别基线漂移，重复试验给出统计区间。RS.2311中采用2–10个100秒开/关区间是特定试验设置，不是统一测试时长。[R7，§4.3]</w:t>
      </w:r>
    </w:p>
    <w:p>
      <w:pPr>
        <w:pStyle w:val="BodyText"/>
      </w:pPr>
      <w:r>
        <w:rPr>
          <w:rFonts w:hint="eastAsia"/>
        </w:rPr>
        <w:t xml:space="preserve">防止两种测量偏差：一是1</w:t>
      </w:r>
      <w:r>
        <w:t xml:space="preserve"> </w:t>
      </w:r>
      <w:r>
        <w:rPr>
          <w:rFonts w:hint="eastAsia"/>
        </w:rPr>
        <w:t xml:space="preserve">Hz等低速平滑输出掩盖短事件，应了解估计窗口或采集更快状态；二是失锁通道停止输出后被统计剔除，导致只保留“幸存通道”平均值。失锁、无效和缺测应独立记录。</w:t>
      </w:r>
    </w:p>
    <w:p>
      <w:pPr>
        <w:pStyle w:val="BodyText"/>
      </w:pPr>
      <w:r>
        <w:rPr>
          <w:rFonts w:hint="eastAsia"/>
        </w:rPr>
        <w:t xml:space="preserve">保持锁定不等于满足0.1或0.2</w:t>
      </w:r>
      <w:r>
        <w:t xml:space="preserve"> </w:t>
      </w:r>
      <w:r>
        <w:rPr>
          <w:rFonts w:hint="eastAsia"/>
        </w:rPr>
        <w:t xml:space="preserve">dB等预算，试验也不能擅自放宽已有保护准则。</w:t>
      </w:r>
    </w:p>
    <w:p>
      <w:pPr>
        <w:pStyle w:val="BodyText"/>
      </w:pPr>
      <w:r>
        <w:rPr>
          <w:rFonts w:hint="eastAsia"/>
          <w:b/>
          <w:bCs/>
        </w:rPr>
        <w:t xml:space="preserve">交付物：校准记录、配置、原始日志、统计结果、模型—试验对照。</w:t>
      </w:r>
    </w:p>
    <w:bookmarkEnd w:id="72"/>
    <w:bookmarkEnd w:id="73"/>
    <w:bookmarkStart w:id="77" w:name="不确定度与敏感性分析"/>
    <w:p>
      <w:pPr>
        <w:pStyle w:val="Heading1"/>
      </w:pPr>
      <w:r>
        <w:t xml:space="preserve">13　</w:t>
      </w:r>
      <w:r>
        <w:rPr>
          <w:rFonts w:hint="eastAsia"/>
        </w:rPr>
        <w:t xml:space="preserve">不确定度与敏感性分析</w:t>
      </w:r>
    </w:p>
    <w:bookmarkStart w:id="74" w:name="来源"/>
    <w:p>
      <w:pPr>
        <w:pStyle w:val="Heading2"/>
      </w:pPr>
      <w:r>
        <w:t xml:space="preserve">13.1　</w:t>
      </w:r>
      <w:r>
        <w:rPr>
          <w:rFonts w:hint="eastAsia"/>
        </w:rPr>
        <w:t xml:space="preserve">来源</w:t>
      </w:r>
    </w:p>
    <w:tbl>
      <w:tblPr>
        <w:tblStyle w:val="Table"/>
        <w:tblW w:type="auto" w:w="0"/>
        <w:tblLayout w:type="fixed"/>
        <w:tblLook w:firstRow="1" w:lastRow="0" w:firstColumn="0" w:lastColumn="0" w:noHBand="0" w:noVBand="0" w:val="0020"/>
      </w:tblPr>
      <w:tblGrid>
        <w:gridCol w:w="3960"/>
        <w:gridCol w:w="3960"/>
      </w:tblGrid>
      <w:tr>
        <w:trPr>
          <w:tblHeader w:val="on"/>
          <w:cantSplit/>
          <w:tblHeader/>
        </w:trPr>
        <w:tc>
          <w:tcPr>
            <w:tcW w:type="dxa" w:w="4706"/>
            <w:tcMar>
              <w:top w:w="85" w:type="dxa"/>
              <w:left w:w="85" w:type="dxa"/>
              <w:bottom w:w="85" w:type="dxa"/>
              <w:right w:w="85" w:type="dxa"/>
            </w:tcMar>
            <w:shd w:fill="E9EFF6"/>
          </w:tcPr>
          <w:p>
            <w:pPr>
              <w:pStyle w:val="Compact"/>
              <w:spacing w:line="269" w:lineRule="auto" w:after="40"/>
            </w:pPr>
            <w:r>
              <w:rPr>
                <w:rFonts w:hint="eastAsia"/>
                <w:b/>
                <w:sz w:val="18"/>
              </w:rPr>
              <w:t xml:space="preserve">来源</w:t>
            </w:r>
          </w:p>
        </w:tc>
        <w:tc>
          <w:tcPr>
            <w:tcW w:type="dxa" w:w="4706"/>
            <w:tcMar>
              <w:top w:w="85" w:type="dxa"/>
              <w:left w:w="85" w:type="dxa"/>
              <w:bottom w:w="85" w:type="dxa"/>
              <w:right w:w="85" w:type="dxa"/>
            </w:tcMar>
            <w:shd w:fill="E9EFF6"/>
          </w:tcPr>
          <w:p>
            <w:pPr>
              <w:pStyle w:val="Compact"/>
              <w:spacing w:line="269" w:lineRule="auto" w:after="40"/>
            </w:pPr>
            <w:r>
              <w:rPr>
                <w:rFonts w:hint="eastAsia"/>
                <w:b/>
                <w:sz w:val="18"/>
              </w:rPr>
              <w:t xml:space="preserve">例子</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发射端</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功率误差、谱变化、旁瓣与指向误差</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几何和传播</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星历、轨迹、姿态、遮挡和传播近似</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接收机</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门限离散、滤波差异、恢复变化、算法模式</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数值和测量</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时间步长、插值、校准、估计器偏差</w:t>
            </w:r>
          </w:p>
        </w:tc>
      </w:tr>
    </w:tbl>
    <w:bookmarkEnd w:id="74"/>
    <w:bookmarkStart w:id="75" w:name="先判断敏感性再分配精化资源"/>
    <w:p>
      <w:pPr>
        <w:pStyle w:val="Heading2"/>
      </w:pPr>
      <w:r>
        <w:t xml:space="preserve">13.2　</w:t>
      </w:r>
      <w:r>
        <w:rPr>
          <w:rFonts w:hint="eastAsia"/>
        </w:rPr>
        <w:t xml:space="preserve">先判断敏感性再分配精化资源</w:t>
      </w:r>
    </w:p>
    <w:p>
      <w:pPr>
        <w:pStyle w:val="FirstParagraph"/>
      </w:pPr>
      <w:r>
        <w:rPr>
          <w:rFonts w:hint="eastAsia"/>
        </w:rPr>
        <w:t xml:space="preserve">若整个事件始终远高于饱和门限，微小链路损耗变化可能不如有效脉宽和恢复时间重要；若很多样本在门限附近，功率、滤波器和门限误差会改变强弱分类。分别扫描这些参数，并保留物理关联，不能将本不独立的模式参数随机组合。</w:t>
      </w:r>
    </w:p>
    <w:bookmarkEnd w:id="75"/>
    <w:bookmarkStart w:id="76" w:name="名义值不等于稳健通过"/>
    <w:p>
      <w:pPr>
        <w:pStyle w:val="Heading2"/>
      </w:pPr>
      <w:r>
        <w:t xml:space="preserve">13.3　</w:t>
      </w:r>
      <w:r>
        <w:rPr>
          <w:rFonts w:hint="eastAsia"/>
        </w:rPr>
        <w:t xml:space="preserve">名义值不等于稳健通过</w:t>
      </w:r>
    </w:p>
    <w:p>
      <w:pPr>
        <w:pStyle w:val="FirstParagraph"/>
      </w:pPr>
      <w:r>
        <w:rPr>
          <w:rFonts w:hint="eastAsia"/>
        </w:rPr>
        <w:t xml:space="preserve">工程上可采用事先认可的不利参数包络，或例如</w:t>
      </w:r>
    </w:p>
    <w:p>
      <w:pPr>
        <w:pStyle w:val="BodyText"/>
      </w:pPr>
      <m:oMathPara>
        <m:oMathParaPr>
          <m:jc m:val="center"/>
        </m:oMathParaPr>
        <m:oMath>
          <m:sSub>
            <m:e>
              <m:r>
                <m:t>D</m:t>
              </m:r>
            </m:e>
            <m:sub>
              <m:r>
                <m:rPr>
                  <m:sty m:val="p"/>
                </m:rPr>
                <m:t>n</m:t>
              </m:r>
              <m:r>
                <m:rPr>
                  <m:sty m:val="p"/>
                </m:rPr>
                <m:t>o</m:t>
              </m:r>
              <m:r>
                <m:rPr>
                  <m:sty m:val="p"/>
                </m:rPr>
                <m:t>m</m:t>
              </m:r>
            </m:sub>
          </m:sSub>
          <m:r>
            <m:rPr>
              <m:sty m:val="p"/>
            </m:rPr>
            <m:t>+</m:t>
          </m:r>
          <m:sSub>
            <m:e>
              <m:r>
                <m:t>U</m:t>
              </m:r>
            </m:e>
            <m:sub>
              <m:r>
                <m:t>D</m:t>
              </m:r>
            </m:sub>
          </m:sSub>
          <m:r>
            <m:rPr>
              <m:sty m:val="p"/>
            </m:rPr>
            <m:t>≤</m:t>
          </m:r>
          <m:sSub>
            <m:e>
              <m:r>
                <m:t>D</m:t>
              </m:r>
            </m:e>
            <m:sub>
              <m:r>
                <m:rPr>
                  <m:sty m:val="p"/>
                </m:rPr>
                <m:t>a</m:t>
              </m:r>
              <m:r>
                <m:rPr>
                  <m:sty m:val="p"/>
                </m:rPr>
                <m:t>l</m:t>
              </m:r>
              <m:r>
                <m:rPr>
                  <m:sty m:val="p"/>
                </m:rPr>
                <m:t>l</m:t>
              </m:r>
              <m:r>
                <m:rPr>
                  <m:sty m:val="p"/>
                </m:rPr>
                <m:t>o</m:t>
              </m:r>
              <m:r>
                <m:rPr>
                  <m:sty m:val="p"/>
                </m:rPr>
                <m:t>w</m:t>
              </m:r>
            </m:sub>
          </m:sSub>
        </m:oMath>
      </m:oMathPara>
    </w:p>
    <w:p>
      <w:pPr>
        <w:pStyle w:val="FirstParagraph"/>
      </w:pPr>
      <w:r>
        <w:rPr>
          <w:rFonts w:hint="eastAsia"/>
        </w:rPr>
        <w:t xml:space="preserve">的判定组织方式。这里</w:t>
      </w:r>
      <w:r>
        <w:t xml:space="preserve"> </w:t>
      </w:r>
      <m:oMath>
        <m:sSub>
          <m:e>
            <m:r>
              <m:t>U</m:t>
            </m:r>
          </m:e>
          <m:sub>
            <m:r>
              <m:t>D</m:t>
            </m:r>
          </m:sub>
        </m:sSub>
      </m:oMath>
      <w:r>
        <w:t xml:space="preserve"> </w:t>
      </w:r>
      <w:r>
        <w:rPr>
          <w:rFonts w:hint="eastAsia"/>
        </w:rPr>
        <w:t xml:space="preserve">的构成及置信含义必须定义；该表达式不是ITU统一强制裕量。明显非线性、相关参数宜直接计算不利组合，不能无依据假定全部独立且高斯。</w:t>
      </w:r>
    </w:p>
    <w:p>
      <w:pPr>
        <w:pStyle w:val="BodyText"/>
      </w:pPr>
      <w:r>
        <w:rPr>
          <w:rFonts w:hint="eastAsia"/>
        </w:rPr>
        <w:t xml:space="preserve">零次观测到危险事件不是证明不可能发生。必须说明统计周期、覆盖空间、初始条件和模式范围。</w:t>
      </w:r>
    </w:p>
    <w:bookmarkEnd w:id="76"/>
    <w:bookmarkEnd w:id="77"/>
    <w:bookmarkStart w:id="82" w:name="从0.387-db初评继续到详评的演示"/>
    <w:p>
      <w:pPr>
        <w:pStyle w:val="Heading1"/>
      </w:pPr>
      <w:r>
        <w:t xml:space="preserve">14　</w:t>
      </w:r>
      <w:r>
        <w:rPr>
          <w:rFonts w:hint="eastAsia"/>
        </w:rPr>
        <w:t xml:space="preserve">从0.387</w:t>
      </w:r>
      <w:r>
        <w:t xml:space="preserve"> </w:t>
      </w:r>
      <w:r>
        <w:rPr>
          <w:rFonts w:hint="eastAsia"/>
        </w:rPr>
        <w:t xml:space="preserve">dB初评继续到详评的演示</w:t>
      </w:r>
    </w:p>
    <w:bookmarkStart w:id="78" w:name="文献算例基线"/>
    <w:p>
      <w:pPr>
        <w:pStyle w:val="Heading2"/>
      </w:pPr>
      <w:r>
        <w:t xml:space="preserve">14.1　</w:t>
      </w:r>
      <w:r>
        <w:rPr>
          <w:rFonts w:hint="eastAsia"/>
        </w:rPr>
        <w:t xml:space="preserve">文献算例基线</w:t>
      </w:r>
    </w:p>
    <w:p>
      <w:pPr>
        <w:pStyle w:val="FirstParagraph"/>
      </w:pPr>
      <w:r>
        <w:rPr>
          <w:rFonts w:hint="eastAsia"/>
        </w:rPr>
        <w:t xml:space="preserve">RS.2537-0的SAR5—SBAS例取</w:t>
      </w:r>
      <w:r>
        <w:t xml:space="preserve"> </w:t>
      </w:r>
      <m:oMath>
        <m:r>
          <m:t>P</m:t>
        </m:r>
        <m:r>
          <m:t>W</m:t>
        </m:r>
        <m:r>
          <m:rPr>
            <m:sty m:val="p"/>
          </m:rPr>
          <m:t>=</m:t>
        </m:r>
        <m:r>
          <m:t>37.63</m:t>
        </m:r>
        <m:r>
          <m:t> </m:t>
        </m:r>
        <m:r>
          <m:t>μ</m:t>
        </m:r>
        <m:r>
          <m:t>s</m:t>
        </m:r>
      </m:oMath>
      <w:r>
        <w:t xml:space="preserve">、</w:t>
      </w:r>
      <m:oMath>
        <m:r>
          <m:t>P</m:t>
        </m:r>
        <m:r>
          <m:t>R</m:t>
        </m:r>
        <m:r>
          <m:t>F</m:t>
        </m:r>
        <m:r>
          <m:rPr>
            <m:sty m:val="p"/>
          </m:rPr>
          <m:t>=</m:t>
        </m:r>
        <m:r>
          <m:t>1860</m:t>
        </m:r>
        <m:r>
          <m:t> </m:t>
        </m:r>
        <m:r>
          <m:t>H</m:t>
        </m:r>
        <m:r>
          <m:t>z</m:t>
        </m:r>
      </m:oMath>
      <w:r>
        <w:rPr>
          <w:rFonts w:hint="eastAsia"/>
        </w:rPr>
        <w:t xml:space="preserve">、重叠比约0.5964、恢复时间</w:t>
      </w:r>
      <w:r>
        <w:t xml:space="preserve"> </w:t>
      </w:r>
      <m:oMath>
        <m:r>
          <m:t>1</m:t>
        </m:r>
        <m:r>
          <m:t> </m:t>
        </m:r>
        <m:r>
          <m:t>μ</m:t>
        </m:r>
        <m:r>
          <m:t>s</m:t>
        </m:r>
      </m:oMath>
      <w:r>
        <w:rPr>
          <w:rFonts w:hint="eastAsia"/>
        </w:rPr>
        <w:t xml:space="preserve">：</w:t>
      </w:r>
    </w:p>
    <w:p>
      <w:pPr>
        <w:pStyle w:val="BodyText"/>
      </w:pPr>
      <m:oMathPara>
        <m:oMathParaPr>
          <m:jc m:val="center"/>
        </m:oMathParaPr>
        <m:oMath>
          <m:r>
            <m:t>P</m:t>
          </m:r>
          <m:r>
            <m:t>D</m:t>
          </m:r>
          <m:sSub>
            <m:e>
              <m:r>
                <m:t>C</m:t>
              </m:r>
            </m:e>
            <m:sub>
              <m:r>
                <m:t>Y</m:t>
              </m:r>
            </m:sub>
          </m:sSub>
          <m:r>
            <m:rPr>
              <m:sty m:val="p"/>
            </m:rPr>
            <m:t>≈</m:t>
          </m:r>
          <m:r>
            <m:t>0.04361</m:t>
          </m:r>
          <m:r>
            <m:rPr>
              <m:sty m:val="p"/>
            </m:rPr>
            <m:t>,</m:t>
          </m:r>
          <m:r>
            <m:t>  </m:t>
          </m:r>
          <m:r>
            <m:t>D</m:t>
          </m:r>
          <m:r>
            <m:rPr>
              <m:sty m:val="p"/>
            </m:rPr>
            <m:t>=</m:t>
          </m:r>
          <m:r>
            <m:rPr>
              <m:sty m:val="p"/>
            </m:rPr>
            <m:t>−</m:t>
          </m:r>
          <m:r>
            <m:t>20</m:t>
          </m:r>
          <m:sSub>
            <m:e>
              <m:r>
                <m:rPr>
                  <m:sty m:val="p"/>
                </m:rPr>
                <m:t>log</m:t>
              </m:r>
            </m:e>
            <m:sub>
              <m:r>
                <m:t>10</m:t>
              </m:r>
            </m:sub>
          </m:sSub>
          <m:r>
            <m:rPr>
              <m:sty m:val="p"/>
            </m:rPr>
            <m:t>(</m:t>
          </m:r>
          <m:r>
            <m:t>1</m:t>
          </m:r>
          <m:r>
            <m:rPr>
              <m:sty m:val="p"/>
            </m:rPr>
            <m:t>−</m:t>
          </m:r>
          <m:r>
            <m:t>P</m:t>
          </m:r>
          <m:r>
            <m:t>D</m:t>
          </m:r>
          <m:sSub>
            <m:e>
              <m:r>
                <m:t>C</m:t>
              </m:r>
            </m:e>
            <m:sub>
              <m:r>
                <m:t>Y</m:t>
              </m:r>
            </m:sub>
          </m:sSub>
          <m:r>
            <m:rPr>
              <m:sty m:val="p"/>
            </m:rPr>
            <m:t>)</m:t>
          </m:r>
          <m:r>
            <m:rPr>
              <m:sty m:val="p"/>
            </m:rPr>
            <m:t>≈</m:t>
          </m:r>
          <m:r>
            <m:t>0.387</m:t>
          </m:r>
          <m:r>
            <m:t> </m:t>
          </m:r>
          <m:r>
            <m:t>d</m:t>
          </m:r>
          <m:r>
            <m:t>B</m:t>
          </m:r>
          <m:r>
            <m:rPr>
              <m:sty m:val="p"/>
            </m:rPr>
            <m:t>.</m:t>
          </m:r>
        </m:oMath>
      </m:oMathPara>
    </w:p>
    <w:p>
      <w:pPr>
        <w:pStyle w:val="FirstParagraph"/>
      </w:pPr>
      <w:r>
        <w:rPr>
          <w:rFonts w:hint="eastAsia"/>
        </w:rPr>
        <w:t xml:space="preserve">超过该接收机算例的0.2</w:t>
      </w:r>
      <w:r>
        <w:t xml:space="preserve"> </w:t>
      </w:r>
      <w:r>
        <w:rPr>
          <w:rFonts w:hint="eastAsia"/>
        </w:rPr>
        <w:t xml:space="preserve">dB，因此报告要求详评。[R2，附件2</w:t>
      </w:r>
      <w:r>
        <w:t xml:space="preserve"> </w:t>
      </w:r>
      <w:r>
        <w:rPr>
          <w:rFonts w:hint="eastAsia"/>
        </w:rPr>
        <w:t xml:space="preserve">§3.1.2，正文第25页/PDF第27页]</w:t>
      </w:r>
    </w:p>
    <w:bookmarkEnd w:id="78"/>
    <w:bookmarkStart w:id="79" w:name="不能用长时间平均掩盖瞬态"/>
    <w:p>
      <w:pPr>
        <w:pStyle w:val="Heading2"/>
      </w:pPr>
      <w:r>
        <w:t xml:space="preserve">14.2　</w:t>
      </w:r>
      <w:r>
        <w:rPr>
          <w:rFonts w:hint="eastAsia"/>
        </w:rPr>
        <w:t xml:space="preserve">不能用长时间平均掩盖瞬态</w:t>
      </w:r>
    </w:p>
    <w:p>
      <w:pPr>
        <w:pStyle w:val="FirstParagraph"/>
      </w:pPr>
      <w:r>
        <w:rPr>
          <w:rFonts w:hint="eastAsia"/>
          <w:b/>
          <w:bCs/>
        </w:rPr>
        <w:t xml:space="preserve">演示假设A，不是ITU实际过境数据：</w:t>
      </w:r>
      <w:r>
        <w:rPr>
          <w:rFonts w:hint="eastAsia"/>
        </w:rPr>
        <w:t xml:space="preserve">若强照射仅2秒，统计区间100秒，直接平均会得到</w:t>
      </w:r>
    </w:p>
    <w:p>
      <w:pPr>
        <w:pStyle w:val="BodyText"/>
      </w:pPr>
      <m:oMathPara>
        <m:oMathParaPr>
          <m:jc m:val="center"/>
        </m:oMathParaPr>
        <m:oMath>
          <m:r>
            <m:t>P</m:t>
          </m:r>
          <m:r>
            <m:t>D</m:t>
          </m:r>
          <m:sSub>
            <m:e>
              <m:r>
                <m:t>C</m:t>
              </m:r>
            </m:e>
            <m:sub>
              <m:r>
                <m:rPr>
                  <m:sty m:val="p"/>
                </m:rPr>
                <m:t>a</m:t>
              </m:r>
              <m:r>
                <m:rPr>
                  <m:sty m:val="p"/>
                </m:rPr>
                <m:t>v</m:t>
              </m:r>
              <m:r>
                <m:rPr>
                  <m:sty m:val="p"/>
                </m:rPr>
                <m:t>g</m:t>
              </m:r>
            </m:sub>
          </m:sSub>
          <m:r>
            <m:rPr>
              <m:sty m:val="p"/>
            </m:rPr>
            <m:t>=</m:t>
          </m:r>
          <m:r>
            <m:t>0.04361</m:t>
          </m:r>
          <m:r>
            <m:rPr>
              <m:sty m:val="p"/>
            </m:rPr>
            <m:t>×</m:t>
          </m:r>
          <m:r>
            <m:t>2</m:t>
          </m:r>
          <m:r>
            <m:rPr>
              <m:sty m:val="p"/>
            </m:rPr>
            <m:t>/</m:t>
          </m:r>
          <m:r>
            <m:t>100</m:t>
          </m:r>
          <m:r>
            <m:rPr>
              <m:sty m:val="p"/>
            </m:rPr>
            <m:t>=</m:t>
          </m:r>
          <m:r>
            <m:t>0.0008722</m:t>
          </m:r>
        </m:oMath>
      </m:oMathPara>
    </w:p>
    <w:p>
      <w:pPr>
        <w:pStyle w:val="FirstParagraph"/>
      </w:pPr>
      <w:r>
        <w:rPr>
          <w:rFonts w:hint="eastAsia"/>
        </w:rPr>
        <w:t xml:space="preserve">并由简式得到约0.0076</w:t>
      </w:r>
      <w:r>
        <w:t xml:space="preserve"> </w:t>
      </w:r>
      <w:r>
        <w:rPr>
          <w:rFonts w:hint="eastAsia"/>
        </w:rPr>
        <w:t xml:space="preserve">dB。但这个数字不能自动代替2秒照射期间的0.387</w:t>
      </w:r>
      <w:r>
        <w:t xml:space="preserve"> </w:t>
      </w:r>
      <w:r>
        <w:rPr>
          <w:rFonts w:hint="eastAsia"/>
        </w:rPr>
        <w:t xml:space="preserve">dB。是否可平均要由适用判据和接收机动态响应决定。</w:t>
      </w:r>
    </w:p>
    <w:bookmarkEnd w:id="79"/>
    <w:bookmarkStart w:id="80" w:name="用证据改变实际受影响时间"/>
    <w:p>
      <w:pPr>
        <w:pStyle w:val="Heading2"/>
      </w:pPr>
      <w:r>
        <w:t xml:space="preserve">14.3　</w:t>
      </w:r>
      <w:r>
        <w:rPr>
          <w:rFonts w:hint="eastAsia"/>
        </w:rPr>
        <w:t xml:space="preserve">用证据改变实际受影响时间</w:t>
      </w:r>
    </w:p>
    <w:p>
      <w:pPr>
        <w:pStyle w:val="FirstParagraph"/>
      </w:pPr>
      <w:r>
        <w:rPr>
          <w:rFonts w:hint="eastAsia"/>
          <w:b/>
          <w:bCs/>
        </w:rPr>
        <w:t xml:space="preserve">演示假设B，不是实测结果：</w:t>
      </w:r>
      <w:r>
        <w:rPr>
          <w:rFonts w:hint="eastAsia"/>
        </w:rPr>
        <w:t xml:space="preserve">若真实滤波和接收机验证得到过阈脉宽</w:t>
      </w:r>
      <w:r>
        <w:t xml:space="preserve"> </w:t>
      </w:r>
      <m:oMath>
        <m:r>
          <m:t>10</m:t>
        </m:r>
        <m:r>
          <m:t> </m:t>
        </m:r>
        <m:r>
          <m:t>μ</m:t>
        </m:r>
        <m:r>
          <m:t>s</m:t>
        </m:r>
      </m:oMath>
      <w:r>
        <w:rPr>
          <w:rFonts w:hint="eastAsia"/>
        </w:rPr>
        <w:t xml:space="preserve">、额外恢复</w:t>
      </w:r>
      <w:r>
        <w:t xml:space="preserve"> </w:t>
      </w:r>
      <m:oMath>
        <m:r>
          <m:t>1</m:t>
        </m:r>
        <m:r>
          <m:t> </m:t>
        </m:r>
        <m:r>
          <m:t>μ</m:t>
        </m:r>
        <m:r>
          <m:t>s</m:t>
        </m:r>
      </m:oMath>
      <w:r>
        <w:rPr>
          <w:rFonts w:hint="eastAsia"/>
        </w:rPr>
        <w:t xml:space="preserve">，则</w:t>
      </w:r>
    </w:p>
    <w:p>
      <w:pPr>
        <w:pStyle w:val="BodyText"/>
      </w:pPr>
      <m:oMathPara>
        <m:oMathParaPr>
          <m:jc m:val="center"/>
        </m:oMathParaPr>
        <m:oMath>
          <m:r>
            <m:t>P</m:t>
          </m:r>
          <m:r>
            <m:t>D</m:t>
          </m:r>
          <m:sSub>
            <m:e>
              <m:r>
                <m:t>C</m:t>
              </m:r>
            </m:e>
            <m:sub>
              <m:r>
                <m:t>Y</m:t>
              </m:r>
            </m:sub>
          </m:sSub>
          <m:r>
            <m:rPr>
              <m:sty m:val="p"/>
            </m:rPr>
            <m:t>=</m:t>
          </m:r>
          <m:r>
            <m:rPr>
              <m:sty m:val="p"/>
            </m:rPr>
            <m:t>(</m:t>
          </m:r>
          <m:r>
            <m:t>10</m:t>
          </m:r>
          <m:r>
            <m:rPr>
              <m:sty m:val="p"/>
            </m:rPr>
            <m:t>+</m:t>
          </m:r>
          <m:r>
            <m:t>1</m:t>
          </m:r>
          <m:r>
            <m:rPr>
              <m:sty m:val="p"/>
            </m:rPr>
            <m:t>)</m:t>
          </m:r>
          <m:r>
            <m:rPr>
              <m:sty m:val="p"/>
            </m:rPr>
            <m:t>×</m:t>
          </m:r>
          <m:sSup>
            <m:e>
              <m:r>
                <m:t>10</m:t>
              </m:r>
            </m:e>
            <m:sup>
              <m:r>
                <m:rPr>
                  <m:sty m:val="p"/>
                </m:rPr>
                <m:t>−</m:t>
              </m:r>
              <m:r>
                <m:t>6</m:t>
              </m:r>
            </m:sup>
          </m:sSup>
          <m:r>
            <m:rPr>
              <m:sty m:val="p"/>
            </m:rPr>
            <m:t>×</m:t>
          </m:r>
          <m:r>
            <m:t>1860</m:t>
          </m:r>
          <m:r>
            <m:rPr>
              <m:sty m:val="p"/>
            </m:rPr>
            <m:t>=</m:t>
          </m:r>
          <m:r>
            <m:t>0.02046</m:t>
          </m:r>
          <m:r>
            <m:rPr>
              <m:sty m:val="p"/>
            </m:rPr>
            <m:t>.</m:t>
          </m:r>
        </m:oMath>
      </m:oMathPara>
    </w:p>
    <w:p>
      <w:pPr>
        <w:pStyle w:val="FirstParagraph"/>
      </w:pPr>
      <w:r>
        <w:rPr>
          <w:rFonts w:hint="eastAsia"/>
        </w:rPr>
        <w:t xml:space="preserve">若仍符合硬限幅特例条件，</w:t>
      </w:r>
    </w:p>
    <w:p>
      <w:pPr>
        <w:pStyle w:val="BodyText"/>
      </w:pPr>
      <m:oMathPara>
        <m:oMathParaPr>
          <m:jc m:val="center"/>
        </m:oMathParaPr>
        <m:oMath>
          <m:r>
            <m:t>D</m:t>
          </m:r>
          <m:r>
            <m:rPr>
              <m:sty m:val="p"/>
            </m:rPr>
            <m:t>=</m:t>
          </m:r>
          <m:r>
            <m:rPr>
              <m:sty m:val="p"/>
            </m:rPr>
            <m:t>−</m:t>
          </m:r>
          <m:r>
            <m:t>20</m:t>
          </m:r>
          <m:sSub>
            <m:e>
              <m:r>
                <m:rPr>
                  <m:sty m:val="p"/>
                </m:rPr>
                <m:t>log</m:t>
              </m:r>
            </m:e>
            <m:sub>
              <m:r>
                <m:t>10</m:t>
              </m:r>
            </m:sub>
          </m:sSub>
          <m:r>
            <m:rPr>
              <m:sty m:val="p"/>
            </m:rPr>
            <m:t>(</m:t>
          </m:r>
          <m:r>
            <m:t>1</m:t>
          </m:r>
          <m:r>
            <m:rPr>
              <m:sty m:val="p"/>
            </m:rPr>
            <m:t>−</m:t>
          </m:r>
          <m:r>
            <m:t>0.02046</m:t>
          </m:r>
          <m:r>
            <m:rPr>
              <m:sty m:val="p"/>
            </m:rPr>
            <m:t>)</m:t>
          </m:r>
          <m:r>
            <m:rPr>
              <m:sty m:val="p"/>
            </m:rPr>
            <m:t>≈</m:t>
          </m:r>
          <m:r>
            <m:t>0.180</m:t>
          </m:r>
          <m:r>
            <m:t> </m:t>
          </m:r>
          <m:r>
            <m:t>d</m:t>
          </m:r>
          <m:r>
            <m:t>B</m:t>
          </m:r>
          <m:r>
            <m:rPr>
              <m:sty m:val="p"/>
            </m:rPr>
            <m:t>.</m:t>
          </m:r>
        </m:oMath>
      </m:oMathPara>
    </w:p>
    <w:p>
      <w:pPr>
        <w:pStyle w:val="FirstParagraph"/>
      </w:pPr>
      <w:r>
        <w:rPr>
          <w:rFonts w:hint="eastAsia"/>
        </w:rPr>
        <w:t xml:space="preserve">改变结果的依据必须是经验证的过阈时间与恢复，不是任意平均或主观折减。</w:t>
      </w:r>
    </w:p>
    <w:bookmarkEnd w:id="80"/>
    <w:bookmarkStart w:id="81" w:name="聚合和误差仍可能改变判定"/>
    <w:p>
      <w:pPr>
        <w:pStyle w:val="Heading2"/>
      </w:pPr>
      <w:r>
        <w:t xml:space="preserve">14.4　</w:t>
      </w:r>
      <w:r>
        <w:rPr>
          <w:rFonts w:hint="eastAsia"/>
        </w:rPr>
        <w:t xml:space="preserve">聚合和误差仍可能改变判定</w:t>
      </w:r>
    </w:p>
    <w:p>
      <w:pPr>
        <w:pStyle w:val="FirstParagraph"/>
      </w:pPr>
      <w:r>
        <w:rPr>
          <w:rFonts w:hint="eastAsia"/>
        </w:rPr>
        <w:t xml:space="preserve">若另一个独立新增源</w:t>
      </w:r>
      <w:r>
        <w:t xml:space="preserve"> </w:t>
      </w:r>
      <m:oMath>
        <m:r>
          <m:t>P</m:t>
        </m:r>
        <m:r>
          <m:t>D</m:t>
        </m:r>
        <m:sSub>
          <m:e>
            <m:r>
              <m:t>C</m:t>
            </m:r>
          </m:e>
          <m:sub>
            <m:r>
              <m:t>2</m:t>
            </m:r>
          </m:sub>
        </m:sSub>
        <m:r>
          <m:rPr>
            <m:sty m:val="p"/>
          </m:rPr>
          <m:t>=</m:t>
        </m:r>
        <m:r>
          <m:t>0.004</m:t>
        </m:r>
      </m:oMath>
      <w:r>
        <w:rPr>
          <w:rFonts w:hint="eastAsia"/>
        </w:rPr>
        <w:t xml:space="preserve">，则</w:t>
      </w:r>
    </w:p>
    <w:p>
      <w:pPr>
        <w:pStyle w:val="BodyText"/>
      </w:pPr>
      <m:oMathPara>
        <m:oMathParaPr>
          <m:jc m:val="center"/>
        </m:oMathParaPr>
        <m:oMath>
          <m:r>
            <m:t>P</m:t>
          </m:r>
          <m:r>
            <m:t>D</m:t>
          </m:r>
          <m:sSub>
            <m:e>
              <m:r>
                <m:t>C</m:t>
              </m:r>
            </m:e>
            <m:sub>
              <m:r>
                <m:rPr>
                  <m:sty m:val="p"/>
                </m:rPr>
                <m:t>a</m:t>
              </m:r>
              <m:r>
                <m:rPr>
                  <m:sty m:val="p"/>
                </m:rPr>
                <m:t>g</m:t>
              </m:r>
              <m:r>
                <m:rPr>
                  <m:sty m:val="p"/>
                </m:rPr>
                <m:t>g</m:t>
              </m:r>
            </m:sub>
          </m:sSub>
          <m:r>
            <m:rPr>
              <m:sty m:val="p"/>
            </m:rPr>
            <m:t>=</m:t>
          </m:r>
          <m:r>
            <m:t>1</m:t>
          </m:r>
          <m:r>
            <m:rPr>
              <m:sty m:val="p"/>
            </m:rPr>
            <m:t>−</m:t>
          </m:r>
          <m:r>
            <m:rPr>
              <m:sty m:val="p"/>
            </m:rPr>
            <m:t>(</m:t>
          </m:r>
          <m:r>
            <m:t>1</m:t>
          </m:r>
          <m:r>
            <m:rPr>
              <m:sty m:val="p"/>
            </m:rPr>
            <m:t>−</m:t>
          </m:r>
          <m:r>
            <m:t>0.02046</m:t>
          </m:r>
          <m:r>
            <m:rPr>
              <m:sty m:val="p"/>
            </m:rPr>
            <m:t>)</m:t>
          </m:r>
          <m:r>
            <m:rPr>
              <m:sty m:val="p"/>
            </m:rPr>
            <m:t>(</m:t>
          </m:r>
          <m:r>
            <m:t>1</m:t>
          </m:r>
          <m:r>
            <m:rPr>
              <m:sty m:val="p"/>
            </m:rPr>
            <m:t>−</m:t>
          </m:r>
          <m:r>
            <m:t>0.004</m:t>
          </m:r>
          <m:r>
            <m:rPr>
              <m:sty m:val="p"/>
            </m:rPr>
            <m:t>)</m:t>
          </m:r>
          <m:r>
            <m:rPr>
              <m:sty m:val="p"/>
            </m:rPr>
            <m:t>=</m:t>
          </m:r>
          <m:r>
            <m:t>0.02437816</m:t>
          </m:r>
        </m:oMath>
      </m:oMathPara>
    </w:p>
    <w:p>
      <w:pPr>
        <w:pStyle w:val="FirstParagraph"/>
      </w:pPr>
      <m:oMathPara>
        <m:oMathParaPr>
          <m:jc m:val="center"/>
        </m:oMathParaPr>
        <m:oMath>
          <m:sSub>
            <m:e>
              <m:r>
                <m:t>D</m:t>
              </m:r>
            </m:e>
            <m:sub>
              <m:r>
                <m:rPr>
                  <m:sty m:val="p"/>
                </m:rPr>
                <m:t>a</m:t>
              </m:r>
              <m:r>
                <m:rPr>
                  <m:sty m:val="p"/>
                </m:rPr>
                <m:t>g</m:t>
              </m:r>
              <m:r>
                <m:rPr>
                  <m:sty m:val="p"/>
                </m:rPr>
                <m:t>g</m:t>
              </m:r>
            </m:sub>
          </m:sSub>
          <m:r>
            <m:rPr>
              <m:sty m:val="p"/>
            </m:rPr>
            <m:t>≈</m:t>
          </m:r>
          <m:r>
            <m:t>0.214</m:t>
          </m:r>
          <m:r>
            <m:t> </m:t>
          </m:r>
          <m:r>
            <m:t>d</m:t>
          </m:r>
          <m:r>
            <m:t>B</m:t>
          </m:r>
          <m:r>
            <m:rPr>
              <m:sty m:val="p"/>
            </m:rPr>
            <m:t>.</m:t>
          </m:r>
        </m:oMath>
      </m:oMathPara>
    </w:p>
    <w:p>
      <w:pPr>
        <w:pStyle w:val="FirstParagraph"/>
      </w:pPr>
      <w:r>
        <w:rPr>
          <w:rFonts w:hint="eastAsia"/>
        </w:rPr>
        <w:t xml:space="preserve">在该特例中重新超过0.2</w:t>
      </w:r>
      <w:r>
        <w:t xml:space="preserve"> </w:t>
      </w:r>
      <w:r>
        <w:rPr>
          <w:rFonts w:hint="eastAsia"/>
        </w:rPr>
        <w:t xml:space="preserve">dB。或者单源名义0.180</w:t>
      </w:r>
      <w:r>
        <w:t xml:space="preserve"> </w:t>
      </w:r>
      <w:r>
        <w:rPr>
          <w:rFonts w:hint="eastAsia"/>
        </w:rPr>
        <w:t xml:space="preserve">dB，但假设的不确定度裕量0.03</w:t>
      </w:r>
      <w:r>
        <w:t xml:space="preserve"> </w:t>
      </w:r>
      <w:r>
        <w:rPr>
          <w:rFonts w:hint="eastAsia"/>
        </w:rPr>
        <w:t xml:space="preserve">dB，则上界约0.210</w:t>
      </w:r>
      <w:r>
        <w:t xml:space="preserve"> </w:t>
      </w:r>
      <w:r>
        <w:rPr>
          <w:rFonts w:hint="eastAsia"/>
        </w:rPr>
        <w:t xml:space="preserve">dB，不能凭名义值判通过。</w:t>
      </w:r>
    </w:p>
    <w:p>
      <w:pPr>
        <w:pStyle w:val="BodyText"/>
      </w:pPr>
      <w:r>
        <w:rPr>
          <w:rFonts w:hint="eastAsia"/>
        </w:rPr>
        <w:t xml:space="preserve">这些附加数字仅演示工作流程，不构成项目结果。对真实非独立源或其他接收模型应重新计算，不能移用上述简式。</w:t>
      </w:r>
    </w:p>
    <w:bookmarkEnd w:id="81"/>
    <w:bookmarkEnd w:id="82"/>
    <w:bookmarkStart w:id="86" w:name="最终判定和交付物"/>
    <w:p>
      <w:pPr>
        <w:pStyle w:val="Heading1"/>
      </w:pPr>
      <w:r>
        <w:t xml:space="preserve">15　</w:t>
      </w:r>
      <w:r>
        <w:rPr>
          <w:rFonts w:hint="eastAsia"/>
        </w:rPr>
        <w:t xml:space="preserve">最终判定和交付物</w:t>
      </w:r>
    </w:p>
    <w:bookmarkStart w:id="83" w:name="三层结论"/>
    <w:p>
      <w:pPr>
        <w:pStyle w:val="Heading2"/>
      </w:pPr>
      <w:r>
        <w:t xml:space="preserve">15.1　</w:t>
      </w:r>
      <w:r>
        <w:rPr>
          <w:rFonts w:hint="eastAsia"/>
        </w:rPr>
        <w:t xml:space="preserve">三层结论</w:t>
      </w:r>
    </w:p>
    <w:p>
      <w:pPr>
        <w:pStyle w:val="FirstParagraph"/>
      </w:pPr>
      <w:r>
        <w:rPr>
          <w:rFonts w:hint="eastAsia"/>
        </w:rPr>
        <w:t xml:space="preserve">模型结论说明所列条件下的输入、事件、峰值和劣化；验证结论说明哪些模型和参数已测、误差范围及未验证项；兼容性结论说明在明确边界和运行限制下，是否满足适用保护准则，是否仍需协调。</w:t>
      </w:r>
    </w:p>
    <w:p>
      <w:pPr>
        <w:pStyle w:val="BodyText"/>
      </w:pPr>
      <w:r>
        <w:rPr>
          <w:rFonts w:hint="eastAsia"/>
        </w:rPr>
        <w:t xml:space="preserve">不写笼统的“对卫星导航没有影响”，而写“在所列模式、接收机、地理/高度、基线和多源条件及不确定度处理范围内，满足/不满足对应准则”。未覆盖型号和模式应单列。</w:t>
      </w:r>
    </w:p>
    <w:p>
      <w:pPr>
        <w:pStyle w:val="BodyText"/>
      </w:pPr>
      <w:r>
        <w:rPr>
          <w:rFonts w:hint="eastAsia"/>
        </w:rPr>
        <w:t xml:space="preserve">RS.2311明确其特定接收机结论不能未经研究推广到其他类型。[R7，§4.2]</w:t>
      </w:r>
    </w:p>
    <w:bookmarkEnd w:id="83"/>
    <w:bookmarkStart w:id="84" w:name="交付物矩阵"/>
    <w:p>
      <w:pPr>
        <w:pStyle w:val="Heading2"/>
      </w:pPr>
      <w:r>
        <w:t xml:space="preserve">15.2　</w:t>
      </w:r>
      <w:r>
        <w:rPr>
          <w:rFonts w:hint="eastAsia"/>
        </w:rPr>
        <w:t xml:space="preserve">交付物矩阵</w:t>
      </w:r>
    </w:p>
    <w:tbl>
      <w:tblPr>
        <w:tblStyle w:val="Table"/>
        <w:tblW w:type="auto" w:w="0"/>
        <w:tblLayout w:type="fixed"/>
        <w:tblLook w:firstRow="1" w:lastRow="0" w:firstColumn="0" w:lastColumn="0" w:noHBand="0" w:noVBand="0" w:val="0020"/>
      </w:tblPr>
      <w:tblGrid>
        <w:gridCol w:w="3960"/>
        <w:gridCol w:w="3960"/>
      </w:tblGrid>
      <w:tr>
        <w:trPr>
          <w:tblHeader w:val="on"/>
          <w:cantSplit/>
          <w:tblHeader/>
        </w:trPr>
        <w:tc>
          <w:tcPr>
            <w:tcW w:type="dxa" w:w="4706"/>
            <w:tcMar>
              <w:top w:w="85" w:type="dxa"/>
              <w:left w:w="85" w:type="dxa"/>
              <w:bottom w:w="85" w:type="dxa"/>
              <w:right w:w="85" w:type="dxa"/>
            </w:tcMar>
            <w:shd w:fill="E9EFF6"/>
          </w:tcPr>
          <w:p>
            <w:pPr>
              <w:pStyle w:val="Compact"/>
              <w:spacing w:line="269" w:lineRule="auto" w:after="40"/>
            </w:pPr>
            <w:r>
              <w:rPr>
                <w:rFonts w:hint="eastAsia"/>
                <w:b/>
                <w:sz w:val="18"/>
              </w:rPr>
              <w:t xml:space="preserve">文件</w:t>
            </w:r>
          </w:p>
        </w:tc>
        <w:tc>
          <w:tcPr>
            <w:tcW w:type="dxa" w:w="4706"/>
            <w:tcMar>
              <w:top w:w="85" w:type="dxa"/>
              <w:left w:w="85" w:type="dxa"/>
              <w:bottom w:w="85" w:type="dxa"/>
              <w:right w:w="85" w:type="dxa"/>
            </w:tcMar>
            <w:shd w:fill="E9EFF6"/>
          </w:tcPr>
          <w:p>
            <w:pPr>
              <w:pStyle w:val="Compact"/>
              <w:spacing w:line="269" w:lineRule="auto" w:after="40"/>
            </w:pPr>
            <w:r>
              <w:rPr>
                <w:rFonts w:hint="eastAsia"/>
                <w:b/>
                <w:sz w:val="18"/>
              </w:rPr>
              <w:t xml:space="preserve">最低内容</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评估范围与准则表</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对象、模式、判据、时间条件</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参数基线</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来源、版本、误差、关联、待确认</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动态事件数据</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几何、功率、模式、频率、共同作用源</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接收链路模型</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参考面、滤波、非线性、门限与恢复</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影响评估</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单源、聚合、捕获、跟踪与恢复</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数值验证</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单位、原算例复现、时间步长收敛</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试验报告</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校准、矩阵、原始日志及统计区间</w:t>
            </w:r>
          </w:p>
        </w:tc>
      </w:tr>
      <w:tr>
        <w:trPr>
          <w:cantSplit/>
        </w:trPr>
        <w:tc>
          <w:tcPr>
            <w:tcW w:type="dxa" w:w="4706"/>
            <w:tcMar>
              <w:top w:w="85" w:type="dxa"/>
              <w:left w:w="85" w:type="dxa"/>
              <w:bottom w:w="85" w:type="dxa"/>
              <w:right w:w="85" w:type="dxa"/>
            </w:tcMar>
          </w:tcPr>
          <w:p>
            <w:pPr>
              <w:pStyle w:val="Compact"/>
              <w:spacing w:line="269" w:lineRule="auto" w:after="40"/>
            </w:pPr>
            <w:r>
              <w:rPr>
                <w:rFonts w:hint="eastAsia"/>
                <w:sz w:val="18"/>
              </w:rPr>
              <w:t xml:space="preserve">结论矩阵</w:t>
            </w:r>
          </w:p>
        </w:tc>
        <w:tc>
          <w:tcPr>
            <w:tcW w:type="dxa" w:w="4706"/>
            <w:tcMar>
              <w:top w:w="85" w:type="dxa"/>
              <w:left w:w="85" w:type="dxa"/>
              <w:bottom w:w="85" w:type="dxa"/>
              <w:right w:w="85" w:type="dxa"/>
            </w:tcMar>
          </w:tcPr>
          <w:p>
            <w:pPr>
              <w:pStyle w:val="Compact"/>
              <w:spacing w:line="269" w:lineRule="auto" w:after="40"/>
            </w:pPr>
            <w:r>
              <w:rPr>
                <w:rFonts w:hint="eastAsia"/>
                <w:sz w:val="18"/>
              </w:rPr>
              <w:t xml:space="preserve">通过、未通过、证据不足与运行条件</w:t>
            </w:r>
          </w:p>
        </w:tc>
      </w:tr>
    </w:tbl>
    <w:bookmarkEnd w:id="84"/>
    <w:bookmarkStart w:id="85" w:name="可复核的闭环"/>
    <w:p>
      <w:pPr>
        <w:pStyle w:val="Heading2"/>
      </w:pPr>
      <w:r>
        <w:t xml:space="preserve">15.3　</w:t>
      </w:r>
      <w:r>
        <w:rPr>
          <w:rFonts w:hint="eastAsia"/>
        </w:rPr>
        <w:t xml:space="preserve">可复核的闭环</w:t>
      </w:r>
    </w:p>
    <w:p>
      <w:pPr>
        <w:pStyle w:val="FirstParagraph"/>
      </w:pPr>
      <w:r>
        <w:rPr>
          <w:rFonts w:hint="eastAsia"/>
        </w:rPr>
        <w:t xml:space="preserve">真实轨道/波束/发射→各参考面动态输入→真实滤波/非线性/恢复→强弱脉冲与联合作用→动态劣化与导航功能→试验和不确定度→判定。</w:t>
      </w:r>
    </w:p>
    <w:p>
      <w:pPr>
        <w:pStyle w:val="BodyText"/>
      </w:pPr>
      <w:r>
        <w:rPr>
          <w:rFonts w:hint="eastAsia"/>
        </w:rPr>
        <w:t xml:space="preserve">完成详评的标志不是“再算一次劣化比”，而是能解释这个值为什么代表实际设备、实际事件和实际运行条件，并能接受独立复核。</w:t>
      </w:r>
    </w:p>
    <w:bookmarkEnd w:id="85"/>
    <w:bookmarkEnd w:id="86"/>
    <w:bookmarkStart w:id="100" w:name="原文定位与参考资料"/>
    <w:p>
      <w:pPr>
        <w:pStyle w:val="Heading1"/>
      </w:pPr>
      <w:r>
        <w:t xml:space="preserve">16　</w:t>
      </w:r>
      <w:r>
        <w:rPr>
          <w:rFonts w:hint="eastAsia"/>
        </w:rPr>
        <w:t xml:space="preserve">原文定位与参考资料</w:t>
      </w:r>
    </w:p>
    <w:p>
      <w:pPr>
        <w:pStyle w:val="FirstParagraph"/>
      </w:pPr>
      <w:r>
        <w:rPr>
          <w:rFonts w:hint="eastAsia"/>
        </w:rPr>
        <w:t xml:space="preserve">下表章节号以所列版本为准。PDF页码从封面计1；印刷页码与PDF页码可能不同。RS.2537原文引用RS.2160，本文保留这一历史引用事实，不把编号在原文中擅自改成RS.2165；项目程序说明另引用RS.2165。</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编号</w:t>
            </w:r>
          </w:p>
        </w:tc>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文件及重点位置</w:t>
            </w:r>
          </w:p>
        </w:tc>
        <w:tc>
          <w:tcPr>
            <w:tcW w:type="dxa" w:w="3137"/>
            <w:tcMar>
              <w:top w:w="85" w:type="dxa"/>
              <w:left w:w="85" w:type="dxa"/>
              <w:bottom w:w="85" w:type="dxa"/>
              <w:right w:w="85" w:type="dxa"/>
            </w:tcMar>
            <w:shd w:fill="E9EFF6"/>
          </w:tcPr>
          <w:p>
            <w:pPr>
              <w:pStyle w:val="Compact"/>
              <w:spacing w:line="269" w:lineRule="auto" w:after="40"/>
            </w:pPr>
            <w:r>
              <w:rPr>
                <w:rFonts w:hint="eastAsia"/>
                <w:b/>
                <w:sz w:val="18"/>
              </w:rPr>
              <w:t xml:space="preserve">本方案使用方式</w:t>
            </w:r>
          </w:p>
        </w:tc>
      </w:tr>
      <w:tr>
        <w:trPr>
          <w:cantSplit/>
        </w:trPr>
        <w:tc>
          <w:tcPr>
            <w:tcW w:type="dxa" w:w="3137"/>
            <w:tcMar>
              <w:top w:w="85" w:type="dxa"/>
              <w:left w:w="85" w:type="dxa"/>
              <w:bottom w:w="85" w:type="dxa"/>
              <w:right w:w="85" w:type="dxa"/>
            </w:tcMar>
          </w:tcPr>
          <w:p>
            <w:pPr>
              <w:pStyle w:val="Compact"/>
              <w:spacing w:line="269" w:lineRule="auto" w:after="40"/>
            </w:pPr>
            <w:r>
              <w:rPr>
                <w:sz w:val="18"/>
              </w:rPr>
              <w:t xml:space="preserve">R1</w:t>
            </w:r>
          </w:p>
        </w:tc>
        <w:tc>
          <w:tcPr>
            <w:tcW w:type="dxa" w:w="3137"/>
            <w:tcMar>
              <w:top w:w="85" w:type="dxa"/>
              <w:left w:w="85" w:type="dxa"/>
              <w:bottom w:w="85" w:type="dxa"/>
              <w:right w:w="85" w:type="dxa"/>
            </w:tcMar>
          </w:tcPr>
          <w:p>
            <w:pPr>
              <w:pStyle w:val="Compact"/>
              <w:spacing w:line="269" w:lineRule="auto" w:after="40"/>
            </w:pPr>
            <w:r>
              <w:rPr>
                <w:sz w:val="18"/>
              </w:rPr>
              <w:t xml:space="preserve">ITU-R </w:t>
            </w:r>
            <w:r>
              <w:rPr>
                <w:rFonts w:hint="eastAsia"/>
                <w:sz w:val="18"/>
              </w:rPr>
              <w:t xml:space="preserve">RS.2165-0，正文3–4页/PDF5–6页，做出建议3、4及注1</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详评触发、参与、真实参数和聚合</w:t>
            </w:r>
          </w:p>
        </w:tc>
      </w:tr>
      <w:tr>
        <w:trPr>
          <w:cantSplit/>
        </w:trPr>
        <w:tc>
          <w:tcPr>
            <w:tcW w:type="dxa" w:w="3137"/>
            <w:tcMar>
              <w:top w:w="85" w:type="dxa"/>
              <w:left w:w="85" w:type="dxa"/>
              <w:bottom w:w="85" w:type="dxa"/>
              <w:right w:w="85" w:type="dxa"/>
            </w:tcMar>
          </w:tcPr>
          <w:p>
            <w:pPr>
              <w:pStyle w:val="Compact"/>
              <w:spacing w:line="269" w:lineRule="auto" w:after="40"/>
            </w:pPr>
            <w:r>
              <w:rPr>
                <w:sz w:val="18"/>
              </w:rPr>
              <w:t xml:space="preserve">R2</w:t>
            </w:r>
          </w:p>
        </w:tc>
        <w:tc>
          <w:tcPr>
            <w:tcW w:type="dxa" w:w="3137"/>
            <w:tcMar>
              <w:top w:w="85" w:type="dxa"/>
              <w:left w:w="85" w:type="dxa"/>
              <w:bottom w:w="85" w:type="dxa"/>
              <w:right w:w="85" w:type="dxa"/>
            </w:tcMar>
          </w:tcPr>
          <w:p>
            <w:pPr>
              <w:pStyle w:val="Compact"/>
              <w:spacing w:line="269" w:lineRule="auto" w:after="40"/>
            </w:pPr>
            <w:r>
              <w:rPr>
                <w:sz w:val="18"/>
              </w:rPr>
              <w:t xml:space="preserve">Report </w:t>
            </w:r>
            <w:r>
              <w:rPr>
                <w:rFonts w:hint="eastAsia"/>
                <w:sz w:val="18"/>
              </w:rPr>
              <w:t xml:space="preserve">RS.2537-0，附件1</w:t>
            </w:r>
            <w:r>
              <w:rPr>
                <w:sz w:val="18"/>
              </w:rPr>
              <w:t xml:space="preserve"> </w:t>
            </w:r>
            <w:r>
              <w:rPr>
                <w:rFonts w:hint="eastAsia"/>
                <w:sz w:val="18"/>
              </w:rPr>
              <w:t xml:space="preserve">§4；附件2</w:t>
            </w:r>
            <w:r>
              <w:rPr>
                <w:sz w:val="18"/>
              </w:rPr>
              <w:t xml:space="preserve"> </w:t>
            </w:r>
            <w:r>
              <w:rPr>
                <w:rFonts w:hint="eastAsia"/>
                <w:sz w:val="18"/>
              </w:rPr>
              <w:t xml:space="preserve">§3.1、§3.2；正文23、25页/PDF25、27页</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峰值筛查、动态分析要求、SAR5算例</w:t>
            </w:r>
          </w:p>
        </w:tc>
      </w:tr>
      <w:tr>
        <w:trPr>
          <w:cantSplit/>
        </w:trPr>
        <w:tc>
          <w:tcPr>
            <w:tcW w:type="dxa" w:w="3137"/>
            <w:tcMar>
              <w:top w:w="85" w:type="dxa"/>
              <w:left w:w="85" w:type="dxa"/>
              <w:bottom w:w="85" w:type="dxa"/>
              <w:right w:w="85" w:type="dxa"/>
            </w:tcMar>
          </w:tcPr>
          <w:p>
            <w:pPr>
              <w:pStyle w:val="Compact"/>
              <w:spacing w:line="269" w:lineRule="auto" w:after="40"/>
            </w:pPr>
            <w:r>
              <w:rPr>
                <w:sz w:val="18"/>
              </w:rPr>
              <w:t xml:space="preserve">R3</w:t>
            </w:r>
          </w:p>
        </w:tc>
        <w:tc>
          <w:tcPr>
            <w:tcW w:type="dxa" w:w="3137"/>
            <w:tcMar>
              <w:top w:w="85" w:type="dxa"/>
              <w:left w:w="85" w:type="dxa"/>
              <w:bottom w:w="85" w:type="dxa"/>
              <w:right w:w="85" w:type="dxa"/>
            </w:tcMar>
          </w:tcPr>
          <w:p>
            <w:pPr>
              <w:pStyle w:val="Compact"/>
              <w:spacing w:line="269" w:lineRule="auto" w:after="40"/>
            </w:pPr>
            <w:r>
              <w:rPr>
                <w:sz w:val="18"/>
              </w:rPr>
              <w:t xml:space="preserve">ITU-R </w:t>
            </w:r>
            <w:r>
              <w:rPr>
                <w:rFonts w:hint="eastAsia"/>
                <w:sz w:val="18"/>
              </w:rPr>
              <w:t xml:space="preserve">M.2030-0，附件1</w:t>
            </w:r>
            <w:r>
              <w:rPr>
                <w:sz w:val="18"/>
              </w:rPr>
              <w:t xml:space="preserve"> </w:t>
            </w:r>
            <w:r>
              <w:rPr>
                <w:rFonts w:hint="eastAsia"/>
                <w:sz w:val="18"/>
              </w:rPr>
              <w:t xml:space="preserve">§2.1–2.3、§3、表2</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接收机模型、适用限制和新增预算</w:t>
            </w:r>
          </w:p>
        </w:tc>
      </w:tr>
      <w:tr>
        <w:trPr>
          <w:cantSplit/>
        </w:trPr>
        <w:tc>
          <w:tcPr>
            <w:tcW w:type="dxa" w:w="3137"/>
            <w:tcMar>
              <w:top w:w="85" w:type="dxa"/>
              <w:left w:w="85" w:type="dxa"/>
              <w:bottom w:w="85" w:type="dxa"/>
              <w:right w:w="85" w:type="dxa"/>
            </w:tcMar>
          </w:tcPr>
          <w:p>
            <w:pPr>
              <w:pStyle w:val="Compact"/>
              <w:spacing w:line="269" w:lineRule="auto" w:after="40"/>
            </w:pPr>
            <w:r>
              <w:rPr>
                <w:sz w:val="18"/>
              </w:rPr>
              <w:t xml:space="preserve">R4</w:t>
            </w:r>
          </w:p>
        </w:tc>
        <w:tc>
          <w:tcPr>
            <w:tcW w:type="dxa" w:w="3137"/>
            <w:tcMar>
              <w:top w:w="85" w:type="dxa"/>
              <w:left w:w="85" w:type="dxa"/>
              <w:bottom w:w="85" w:type="dxa"/>
              <w:right w:w="85" w:type="dxa"/>
            </w:tcMar>
          </w:tcPr>
          <w:p>
            <w:pPr>
              <w:pStyle w:val="Compact"/>
              <w:spacing w:line="269" w:lineRule="auto" w:after="40"/>
            </w:pPr>
            <w:r>
              <w:rPr>
                <w:sz w:val="18"/>
              </w:rPr>
              <w:t xml:space="preserve">Report </w:t>
            </w:r>
            <w:r>
              <w:rPr>
                <w:rFonts w:hint="eastAsia"/>
                <w:sz w:val="18"/>
              </w:rPr>
              <w:t xml:space="preserve">M.2220-1，§2、§4.1.3–4.1.4及附件B</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参数生成、扫频/扫描修正与聚合</w:t>
            </w:r>
          </w:p>
        </w:tc>
      </w:tr>
      <w:tr>
        <w:trPr>
          <w:cantSplit/>
        </w:trPr>
        <w:tc>
          <w:tcPr>
            <w:tcW w:type="dxa" w:w="3137"/>
            <w:tcMar>
              <w:top w:w="85" w:type="dxa"/>
              <w:left w:w="85" w:type="dxa"/>
              <w:bottom w:w="85" w:type="dxa"/>
              <w:right w:w="85" w:type="dxa"/>
            </w:tcMar>
          </w:tcPr>
          <w:p>
            <w:pPr>
              <w:pStyle w:val="Compact"/>
              <w:spacing w:line="269" w:lineRule="auto" w:after="40"/>
            </w:pPr>
            <w:r>
              <w:rPr>
                <w:sz w:val="18"/>
              </w:rPr>
              <w:t xml:space="preserve">R5</w:t>
            </w:r>
          </w:p>
        </w:tc>
        <w:tc>
          <w:tcPr>
            <w:tcW w:type="dxa" w:w="3137"/>
            <w:tcMar>
              <w:top w:w="85" w:type="dxa"/>
              <w:left w:w="85" w:type="dxa"/>
              <w:bottom w:w="85" w:type="dxa"/>
              <w:right w:w="85" w:type="dxa"/>
            </w:tcMar>
          </w:tcPr>
          <w:p>
            <w:pPr>
              <w:pStyle w:val="Compact"/>
              <w:spacing w:line="269" w:lineRule="auto" w:after="40"/>
            </w:pPr>
            <w:r>
              <w:rPr>
                <w:sz w:val="18"/>
              </w:rPr>
              <w:t xml:space="preserve">Report </w:t>
            </w:r>
            <w:r>
              <w:rPr>
                <w:rFonts w:hint="eastAsia"/>
                <w:sz w:val="18"/>
              </w:rPr>
              <w:t xml:space="preserve">M.2305-1，研究方法及附件</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多星动态几何和共同照射事件</w:t>
            </w:r>
          </w:p>
        </w:tc>
      </w:tr>
      <w:tr>
        <w:trPr>
          <w:cantSplit/>
        </w:trPr>
        <w:tc>
          <w:tcPr>
            <w:tcW w:type="dxa" w:w="3137"/>
            <w:tcMar>
              <w:top w:w="85" w:type="dxa"/>
              <w:left w:w="85" w:type="dxa"/>
              <w:bottom w:w="85" w:type="dxa"/>
              <w:right w:w="85" w:type="dxa"/>
            </w:tcMar>
          </w:tcPr>
          <w:p>
            <w:pPr>
              <w:pStyle w:val="Compact"/>
              <w:spacing w:line="269" w:lineRule="auto" w:after="40"/>
            </w:pPr>
            <w:r>
              <w:rPr>
                <w:sz w:val="18"/>
              </w:rPr>
              <w:t xml:space="preserve">R6</w:t>
            </w:r>
          </w:p>
        </w:tc>
        <w:tc>
          <w:tcPr>
            <w:tcW w:type="dxa" w:w="3137"/>
            <w:tcMar>
              <w:top w:w="85" w:type="dxa"/>
              <w:left w:w="85" w:type="dxa"/>
              <w:bottom w:w="85" w:type="dxa"/>
              <w:right w:w="85" w:type="dxa"/>
            </w:tcMar>
          </w:tcPr>
          <w:p>
            <w:pPr>
              <w:pStyle w:val="Compact"/>
              <w:spacing w:line="269" w:lineRule="auto" w:after="40"/>
            </w:pPr>
            <w:r>
              <w:rPr>
                <w:sz w:val="18"/>
              </w:rPr>
              <w:t xml:space="preserve">Report </w:t>
            </w:r>
            <w:r>
              <w:rPr>
                <w:rFonts w:hint="eastAsia"/>
                <w:sz w:val="18"/>
              </w:rPr>
              <w:t xml:space="preserve">M.2496-0，接收机特性及附件1、2</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饱和测量与扫描影响限制</w:t>
            </w:r>
          </w:p>
        </w:tc>
      </w:tr>
      <w:tr>
        <w:trPr>
          <w:cantSplit/>
        </w:trPr>
        <w:tc>
          <w:tcPr>
            <w:tcW w:type="dxa" w:w="3137"/>
            <w:tcMar>
              <w:top w:w="85" w:type="dxa"/>
              <w:left w:w="85" w:type="dxa"/>
              <w:bottom w:w="85" w:type="dxa"/>
              <w:right w:w="85" w:type="dxa"/>
            </w:tcMar>
          </w:tcPr>
          <w:p>
            <w:pPr>
              <w:pStyle w:val="Compact"/>
              <w:spacing w:line="269" w:lineRule="auto" w:after="40"/>
            </w:pPr>
            <w:r>
              <w:rPr>
                <w:sz w:val="18"/>
              </w:rPr>
              <w:t xml:space="preserve">R7</w:t>
            </w:r>
          </w:p>
        </w:tc>
        <w:tc>
          <w:tcPr>
            <w:tcW w:type="dxa" w:w="3137"/>
            <w:tcMar>
              <w:top w:w="85" w:type="dxa"/>
              <w:left w:w="85" w:type="dxa"/>
              <w:bottom w:w="85" w:type="dxa"/>
              <w:right w:w="85" w:type="dxa"/>
            </w:tcMar>
          </w:tcPr>
          <w:p>
            <w:pPr>
              <w:pStyle w:val="Compact"/>
              <w:spacing w:line="269" w:lineRule="auto" w:after="40"/>
            </w:pPr>
            <w:r>
              <w:rPr>
                <w:sz w:val="18"/>
              </w:rPr>
              <w:t xml:space="preserve">Report </w:t>
            </w:r>
            <w:r>
              <w:rPr>
                <w:rFonts w:hint="eastAsia"/>
                <w:sz w:val="18"/>
              </w:rPr>
              <w:t xml:space="preserve">RS.2311-0，§4.1.2–4.4.1，正文5–9页/PDF7–11页</w:t>
            </w:r>
          </w:p>
        </w:tc>
        <w:tc>
          <w:tcPr>
            <w:tcW w:type="dxa" w:w="3137"/>
            <w:tcMar>
              <w:top w:w="85" w:type="dxa"/>
              <w:left w:w="85" w:type="dxa"/>
              <w:bottom w:w="85" w:type="dxa"/>
              <w:right w:w="85" w:type="dxa"/>
            </w:tcMar>
          </w:tcPr>
          <w:p>
            <w:pPr>
              <w:pStyle w:val="Compact"/>
              <w:spacing w:line="269" w:lineRule="auto" w:after="40"/>
            </w:pPr>
            <w:r>
              <w:rPr>
                <w:rFonts w:hint="eastAsia"/>
                <w:sz w:val="18"/>
              </w:rPr>
              <w:t xml:space="preserve">注入、校准、对照和真实滤波</w:t>
            </w:r>
          </w:p>
        </w:tc>
      </w:tr>
    </w:tbl>
    <w:bookmarkStart w:id="98" w:name="标准与报告入口"/>
    <w:p>
      <w:pPr>
        <w:pStyle w:val="Heading2"/>
      </w:pPr>
      <w:r>
        <w:t xml:space="preserve">16.1　</w:t>
      </w:r>
      <w:r>
        <w:rPr>
          <w:rFonts w:hint="eastAsia"/>
        </w:rPr>
        <w:t xml:space="preserve">标准与报告入口</w:t>
      </w:r>
    </w:p>
    <w:p>
      <w:pPr>
        <w:pStyle w:val="FirstParagraph"/>
      </w:pPr>
      <w:r>
        <w:t xml:space="preserve">[R1] ITU-R </w:t>
      </w:r>
      <w:r>
        <w:rPr>
          <w:rFonts w:hint="eastAsia"/>
        </w:rPr>
        <w:t xml:space="preserve">RS.2165-0（2023）：</w:t>
      </w:r>
      <w:hyperlink r:id="rId87">
        <w:r>
          <w:rPr>
            <w:rStyle w:val="Hyperlink"/>
            <w:rFonts w:hint="eastAsia"/>
          </w:rPr>
          <w:t xml:space="preserve">官方页面</w:t>
        </w:r>
      </w:hyperlink>
      <w:r>
        <w:rPr>
          <w:rFonts w:hint="eastAsia"/>
        </w:rPr>
        <w:t xml:space="preserve">；</w:t>
      </w:r>
      <w:hyperlink r:id="rId88">
        <w:r>
          <w:rPr>
            <w:rStyle w:val="Hyperlink"/>
            <w:rFonts w:hint="eastAsia"/>
          </w:rPr>
          <w:t xml:space="preserve">中文PDF</w:t>
        </w:r>
      </w:hyperlink>
      <w:r>
        <w:t xml:space="preserve">。</w:t>
      </w:r>
    </w:p>
    <w:p>
      <w:pPr>
        <w:pStyle w:val="BodyText"/>
      </w:pPr>
      <w:r>
        <w:t xml:space="preserve">[R2] Report ITU-R </w:t>
      </w:r>
      <w:r>
        <w:rPr>
          <w:rFonts w:hint="eastAsia"/>
        </w:rPr>
        <w:t xml:space="preserve">RS.2537-0（2023）：</w:t>
      </w:r>
      <w:hyperlink r:id="rId89">
        <w:r>
          <w:rPr>
            <w:rStyle w:val="Hyperlink"/>
            <w:rFonts w:hint="eastAsia"/>
          </w:rPr>
          <w:t xml:space="preserve">官方页面</w:t>
        </w:r>
      </w:hyperlink>
      <w:r>
        <w:rPr>
          <w:rFonts w:hint="eastAsia"/>
        </w:rPr>
        <w:t xml:space="preserve">；</w:t>
      </w:r>
      <w:hyperlink r:id="rId90">
        <w:r>
          <w:rPr>
            <w:rStyle w:val="Hyperlink"/>
            <w:rFonts w:hint="eastAsia"/>
          </w:rPr>
          <w:t xml:space="preserve">英文PDF</w:t>
        </w:r>
      </w:hyperlink>
      <w:r>
        <w:t xml:space="preserve">。</w:t>
      </w:r>
    </w:p>
    <w:p>
      <w:pPr>
        <w:pStyle w:val="BodyText"/>
      </w:pPr>
      <w:r>
        <w:t xml:space="preserve">[R3] ITU-R </w:t>
      </w:r>
      <w:r>
        <w:rPr>
          <w:rFonts w:hint="eastAsia"/>
        </w:rPr>
        <w:t xml:space="preserve">M.2030-0（2012）：</w:t>
      </w:r>
      <w:hyperlink r:id="rId91">
        <w:r>
          <w:rPr>
            <w:rStyle w:val="Hyperlink"/>
            <w:rFonts w:hint="eastAsia"/>
          </w:rPr>
          <w:t xml:space="preserve">官方页面</w:t>
        </w:r>
      </w:hyperlink>
      <w:r>
        <w:rPr>
          <w:rFonts w:hint="eastAsia"/>
        </w:rPr>
        <w:t xml:space="preserve">；</w:t>
      </w:r>
      <w:hyperlink r:id="rId92">
        <w:r>
          <w:rPr>
            <w:rStyle w:val="Hyperlink"/>
            <w:rFonts w:hint="eastAsia"/>
          </w:rPr>
          <w:t xml:space="preserve">中文PDF</w:t>
        </w:r>
      </w:hyperlink>
      <w:r>
        <w:t xml:space="preserve">。</w:t>
      </w:r>
    </w:p>
    <w:p>
      <w:pPr>
        <w:pStyle w:val="BodyText"/>
      </w:pPr>
      <w:r>
        <w:t xml:space="preserve">[R4] Report ITU-R </w:t>
      </w:r>
      <w:r>
        <w:rPr>
          <w:rFonts w:hint="eastAsia"/>
        </w:rPr>
        <w:t xml:space="preserve">M.2220-1（2021）：</w:t>
      </w:r>
      <w:hyperlink r:id="rId93">
        <w:r>
          <w:rPr>
            <w:rStyle w:val="Hyperlink"/>
            <w:rFonts w:hint="eastAsia"/>
          </w:rPr>
          <w:t xml:space="preserve">英文PDF</w:t>
        </w:r>
      </w:hyperlink>
      <w:r>
        <w:t xml:space="preserve">。</w:t>
      </w:r>
    </w:p>
    <w:p>
      <w:pPr>
        <w:pStyle w:val="BodyText"/>
      </w:pPr>
      <w:r>
        <w:t xml:space="preserve">[R5] Report ITU-R </w:t>
      </w:r>
      <w:r>
        <w:rPr>
          <w:rFonts w:hint="eastAsia"/>
        </w:rPr>
        <w:t xml:space="preserve">M.2305-1（11/2025批准、2026文件）：</w:t>
      </w:r>
      <w:hyperlink r:id="rId94">
        <w:r>
          <w:rPr>
            <w:rStyle w:val="Hyperlink"/>
            <w:rFonts w:hint="eastAsia"/>
          </w:rPr>
          <w:t xml:space="preserve">官方页面</w:t>
        </w:r>
      </w:hyperlink>
      <w:r>
        <w:rPr>
          <w:rFonts w:hint="eastAsia"/>
        </w:rPr>
        <w:t xml:space="preserve">；</w:t>
      </w:r>
      <w:hyperlink r:id="rId95">
        <w:r>
          <w:rPr>
            <w:rStyle w:val="Hyperlink"/>
            <w:rFonts w:hint="eastAsia"/>
          </w:rPr>
          <w:t xml:space="preserve">英文PDF</w:t>
        </w:r>
      </w:hyperlink>
      <w:r>
        <w:t xml:space="preserve">。</w:t>
      </w:r>
    </w:p>
    <w:p>
      <w:pPr>
        <w:pStyle w:val="BodyText"/>
      </w:pPr>
      <w:r>
        <w:t xml:space="preserve">[R6] Report ITU-R </w:t>
      </w:r>
      <w:r>
        <w:rPr>
          <w:rFonts w:hint="eastAsia"/>
        </w:rPr>
        <w:t xml:space="preserve">M.2496-0（2021）：</w:t>
      </w:r>
      <w:hyperlink r:id="rId96">
        <w:r>
          <w:rPr>
            <w:rStyle w:val="Hyperlink"/>
            <w:rFonts w:hint="eastAsia"/>
          </w:rPr>
          <w:t xml:space="preserve">英文PDF</w:t>
        </w:r>
      </w:hyperlink>
      <w:r>
        <w:t xml:space="preserve">。</w:t>
      </w:r>
    </w:p>
    <w:p>
      <w:pPr>
        <w:pStyle w:val="BodyText"/>
      </w:pPr>
      <w:r>
        <w:t xml:space="preserve">[R7] Report ITU-R </w:t>
      </w:r>
      <w:r>
        <w:rPr>
          <w:rFonts w:hint="eastAsia"/>
        </w:rPr>
        <w:t xml:space="preserve">RS.2311-0（2014）：</w:t>
      </w:r>
      <w:hyperlink r:id="rId97">
        <w:r>
          <w:rPr>
            <w:rStyle w:val="Hyperlink"/>
            <w:rFonts w:hint="eastAsia"/>
          </w:rPr>
          <w:t xml:space="preserve">英文PDF</w:t>
        </w:r>
      </w:hyperlink>
      <w:r>
        <w:t xml:space="preserve">。</w:t>
      </w:r>
    </w:p>
    <w:bookmarkEnd w:id="98"/>
    <w:bookmarkStart w:id="99" w:name="证据使用说明"/>
    <w:p>
      <w:pPr>
        <w:pStyle w:val="Heading2"/>
      </w:pPr>
      <w:r>
        <w:t xml:space="preserve">16.2　</w:t>
      </w:r>
      <w:r>
        <w:rPr>
          <w:rFonts w:hint="eastAsia"/>
        </w:rPr>
        <w:t xml:space="preserve">证据使用说明</w:t>
      </w:r>
    </w:p>
    <w:p>
      <w:pPr>
        <w:pStyle w:val="FirstParagraph"/>
      </w:pPr>
      <w:r>
        <w:rPr>
          <w:rFonts w:hint="eastAsia"/>
        </w:rPr>
        <w:t xml:space="preserve">上述材料分别提供程序、参数、动态事件或试验依据。坐标实现、区间并集、输出矩阵、收敛检查和不确定度管理是本文工程组织补充，不声称由单篇ITU文献完整规定。正式评估仍须核实实际设备、频谱协调及适用保护要求。</w:t>
      </w:r>
    </w:p>
    <w:p>
      <w:pPr>
        <w:pStyle w:val="BodyText"/>
      </w:pPr>
      <w:r>
        <w:rPr>
          <w:rFonts w:hint="eastAsia"/>
        </w:rPr>
        <w:t xml:space="preserve">本次检索论文另列在《L波段雷达对GNSS干扰论文导读与下载清单》中，并与ITU建议书/报告分开计数。论文中的地面雷达、DME/TACAN或星上受扰案例只能按其实际场景使用，不自动等于天基雷达对地面GNSS的完整兼容结论。</w:t>
      </w:r>
    </w:p>
    <w:bookmarkEnd w:id="99"/>
    <w:bookmarkEnd w:id="100"/>
    <w:sectPr w:rsidR="00FC693F" w:rsidRPr="0006063C" w:rsidSect="00034616">
      <w:headerReference r:id="rId9" w:type="default"/>
      <w:footerReference r:id="rId10" w:type="default"/>
      <w:pgSz w:h="16838" w:w="11906"/>
      <w:pgMar w:bottom="1134" w:footer="510" w:gutter="0" w:header="510" w:left="1247" w:right="1247" w:top="119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技术资料  |  L波段雷达与卫星导航频谱兼容性</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98" w:lineRule="auto"/>
    </w:pPr>
    <w:rPr>
      <w:rFonts w:ascii="Calibri" w:eastAsia="Noto Serif CJK SC"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Calibri" w:eastAsia="Noto Sans CJK SC" w:hAnsi="Calibri"/>
      <w:sz w:val="17"/>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Calibri" w:eastAsia="Noto Sans CJK SC" w:hAnsi="Calibri"/>
      <w:sz w:val="17"/>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Calibri" w:asciiTheme="majorHAnsi" w:cstheme="majorBidi" w:eastAsia="Noto Sans CJK SC" w:eastAsiaTheme="majorEastAsia" w:hAnsi="Calibri"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Calibri" w:asciiTheme="majorHAnsi" w:cstheme="majorBidi" w:eastAsia="Noto Sans CJK SC" w:eastAsiaTheme="majorEastAsia" w:hAnsi="Calibri" w:hAnsiTheme="majorHAnsi"/>
      <w:b/>
      <w:bCs/>
      <w:color w:val="17365D"/>
      <w:sz w:val="26"/>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Noto Sans CJK SC" w:eastAsiaTheme="majorEastAsia" w:hAnsi="Calibri" w:hAnsiTheme="majorHAnsi"/>
      <w:b/>
      <w:bCs/>
      <w:color w:val="17365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Calibri" w:asciiTheme="majorHAnsi" w:cstheme="majorBidi" w:eastAsia="Noto Sans CJK SC" w:eastAsiaTheme="majorEastAsia" w:hAnsi="Calibri" w:hAnsiTheme="majorHAnsi"/>
      <w:color w:val="17365D"/>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Calibri" w:asciiTheme="majorHAnsi" w:cstheme="majorBidi" w:eastAsia="Noto Sans CJK SC" w:eastAsiaTheme="majorEastAsia" w:hAnsi="Calibri" w:hAnsiTheme="majorHAnsi"/>
      <w:i/>
      <w:iCs/>
      <w:color w:themeColor="accent1" w:val="4F81BD"/>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00" w:line="298" w:lineRule="auto"/>
    </w:pPr>
    <w:rPr>
      <w:rFonts w:ascii="Calibri" w:eastAsia="Noto Serif CJK SC" w:hAnsi="Calibri"/>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Calibri" w:eastAsia="Noto Sans CJK SC" w:hAnsi="Calibri"/>
      <w:b/>
      <w:bCs/>
      <w:color w:themeColor="accent1" w:val="4F81BD"/>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00" w:line="298" w:lineRule="auto"/>
    </w:pPr>
    <w:rPr>
      <w:rFonts w:ascii="Calibri" w:eastAsia="Noto Serif CJK SC" w:hAnsi="Calibri"/>
      <w:sz w:val="21"/>
    </w:rPr>
  </w:style>
  <w:style w:customStyle="1" w:styleId="Compact" w:type="paragraph">
    <w:name w:val="Compact"/>
    <w:pPr>
      <w:widowControl/>
      <w:spacing w:after="100" w:line="298" w:lineRule="auto"/>
    </w:pPr>
    <w:rPr>
      <w:rFonts w:ascii="Calibri" w:eastAsia="Noto Serif CJK SC" w:hAnsi="Calibri"/>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93" Type="http://schemas.openxmlformats.org/officeDocument/2006/relationships/hyperlink" Target="https://www.itu.int/dms_pub/itu-r/opb/rep/R-REP-M.2220-1-2021-PDF-E.pdf" TargetMode="External"/><Relationship Id="rId95" Type="http://schemas.openxmlformats.org/officeDocument/2006/relationships/hyperlink" Target="https://www.itu.int/dms_pub/itu-r/opb/rep/R-REP-M.2305-1-2026-PDF-E.pdf" TargetMode="External"/><Relationship Id="rId96" Type="http://schemas.openxmlformats.org/officeDocument/2006/relationships/hyperlink" Target="https://www.itu.int/dms_pub/itu-r/opb/rep/R-REP-M.2496-2021-PDF-E.pdf" TargetMode="External"/><Relationship Id="rId97" Type="http://schemas.openxmlformats.org/officeDocument/2006/relationships/hyperlink" Target="https://www.itu.int/dms_pub/itu-r/opb/rep/R-REP-RS.2311-2014-PDF-E.pdf" TargetMode="External"/><Relationship Id="rId90" Type="http://schemas.openxmlformats.org/officeDocument/2006/relationships/hyperlink" Target="https://www.itu.int/dms_pub/itu-r/opb/rep/R-REP-RS.2537-2023-PDF-E.pdf" TargetMode="External"/><Relationship Id="rId92" Type="http://schemas.openxmlformats.org/officeDocument/2006/relationships/hyperlink" Target="https://www.itu.int/dms_pubrec/itu-r/rec/m/R-REC-M.2030-0-201212-I!!PDF-C.pdf" TargetMode="External"/><Relationship Id="rId88" Type="http://schemas.openxmlformats.org/officeDocument/2006/relationships/hyperlink" Target="https://www.itu.int/dms_pubrec/itu-r/rec/rs/R-REC-RS.2165-0-202312-I!!PDF-C.pdf" TargetMode="External"/><Relationship Id="rId94" Type="http://schemas.openxmlformats.org/officeDocument/2006/relationships/hyperlink" Target="https://www.itu.int/pub/R-REP-M.2305-1-2026" TargetMode="External"/><Relationship Id="rId89" Type="http://schemas.openxmlformats.org/officeDocument/2006/relationships/hyperlink" Target="https://www.itu.int/pub/R-REP-RS.2537-2023" TargetMode="External"/><Relationship Id="rId91" Type="http://schemas.openxmlformats.org/officeDocument/2006/relationships/hyperlink" Target="https://www.itu.int/rec/R-REC-M.2030" TargetMode="External"/><Relationship Id="rId87" Type="http://schemas.openxmlformats.org/officeDocument/2006/relationships/hyperlink" Target="https://www.itu.int/rec/R-REC-RS.2165" TargetMode="External"/></Relationships>
</file>

<file path=word/_rels/footnotes.xml.rels><?xml version='1.0' encoding='UTF-8' standalone='yes'?>
<Relationships xmlns="http://schemas.openxmlformats.org/package/2006/relationships"><Relationship Id="rId93" Type="http://schemas.openxmlformats.org/officeDocument/2006/relationships/hyperlink" Target="https://www.itu.int/dms_pub/itu-r/opb/rep/R-REP-M.2220-1-2021-PDF-E.pdf" TargetMode="External"/><Relationship Id="rId95" Type="http://schemas.openxmlformats.org/officeDocument/2006/relationships/hyperlink" Target="https://www.itu.int/dms_pub/itu-r/opb/rep/R-REP-M.2305-1-2026-PDF-E.pdf" TargetMode="External"/><Relationship Id="rId96" Type="http://schemas.openxmlformats.org/officeDocument/2006/relationships/hyperlink" Target="https://www.itu.int/dms_pub/itu-r/opb/rep/R-REP-M.2496-2021-PDF-E.pdf" TargetMode="External"/><Relationship Id="rId97" Type="http://schemas.openxmlformats.org/officeDocument/2006/relationships/hyperlink" Target="https://www.itu.int/dms_pub/itu-r/opb/rep/R-REP-RS.2311-2014-PDF-E.pdf" TargetMode="External"/><Relationship Id="rId90" Type="http://schemas.openxmlformats.org/officeDocument/2006/relationships/hyperlink" Target="https://www.itu.int/dms_pub/itu-r/opb/rep/R-REP-RS.2537-2023-PDF-E.pdf" TargetMode="External"/><Relationship Id="rId92" Type="http://schemas.openxmlformats.org/officeDocument/2006/relationships/hyperlink" Target="https://www.itu.int/dms_pubrec/itu-r/rec/m/R-REC-M.2030-0-201212-I!!PDF-C.pdf" TargetMode="External"/><Relationship Id="rId88" Type="http://schemas.openxmlformats.org/officeDocument/2006/relationships/hyperlink" Target="https://www.itu.int/dms_pubrec/itu-r/rec/rs/R-REC-RS.2165-0-202312-I!!PDF-C.pdf" TargetMode="External"/><Relationship Id="rId94" Type="http://schemas.openxmlformats.org/officeDocument/2006/relationships/hyperlink" Target="https://www.itu.int/pub/R-REP-M.2305-1-2026" TargetMode="External"/><Relationship Id="rId89" Type="http://schemas.openxmlformats.org/officeDocument/2006/relationships/hyperlink" Target="https://www.itu.int/pub/R-REP-RS.2537-2023" TargetMode="External"/><Relationship Id="rId91" Type="http://schemas.openxmlformats.org/officeDocument/2006/relationships/hyperlink" Target="https://www.itu.int/rec/R-REC-M.2030" TargetMode="External"/><Relationship Id="rId87" Type="http://schemas.openxmlformats.org/officeDocument/2006/relationships/hyperlink" Target="https://www.itu.int/rec/R-REC-RS.21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L波段天基雷达对卫星导航接收机详细干扰分析实施方案</dc:title>
  <dc:creator>技术资料整理</dc:creator>
  <dc:language>zh-CN</dc:language>
  <cp:keywords/>
  <dcterms:created xsi:type="dcterms:W3CDTF">2026-10-22T16:26:59Z</dcterms:created>
  <dcterms:modified xsi:type="dcterms:W3CDTF">2026-10-22T16:26:59Z</dcterms:modified>
  <dc:subject>公开技术方法整理；实际项目数据未提供；不构成已完成兼容性结论</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2026年10月23日</vt:lpwstr>
  </property>
  <property fmtid="{D5CDD505-2E9C-101B-9397-08002B2CF9AE}" pid="3" name="subtitle">
    <vt:lpwstr>从初步劣化比计算到动态兼容性评估与接收机验证</vt:lpwstr>
  </property>
</Properties>
</file>