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Noto Serif CJK SC" w:hAnsi="Noto Serif CJK SC" w:eastAsia="Noto Serif CJK SC"/>
          <w:b/>
          <w:color w:val="1F4E78"/>
          <w:sz w:val="50"/>
        </w:rPr>
        <w:t>ITU-R M.2220-1与M.2305-1</w:t>
      </w:r>
    </w:p>
    <w:p>
      <w:pPr>
        <w:jc w:val="center"/>
      </w:pPr>
      <w:r>
        <w:rPr>
          <w:rFonts w:ascii="Noto Serif CJK SC" w:hAnsi="Noto Serif CJK SC" w:eastAsia="Noto Serif CJK SC"/>
          <w:b/>
          <w:color w:val="1F4E78"/>
          <w:sz w:val="42"/>
        </w:rPr>
        <w:t>脉冲干扰参数计算与多星聚合事件分析</w:t>
        <w:br/>
        <w:t>详细解读</w:t>
      </w:r>
    </w:p>
    <w:p>
      <w:pPr>
        <w:jc w:val="center"/>
      </w:pPr>
      <w:r>
        <w:rPr>
          <w:rFonts w:ascii="Noto Sans CJK SC" w:hAnsi="Noto Sans CJK SC" w:eastAsia="Noto Sans CJK SC"/>
          <w:color w:val="4472C4"/>
          <w:sz w:val="28"/>
        </w:rPr>
        <w:t>━━━━━━━━━━━━━━━━━━━━━━━━━━━━</w:t>
      </w:r>
    </w:p>
    <w:p>
      <w:pPr>
        <w:spacing w:before="340"/>
        <w:jc w:val="center"/>
      </w:pPr>
      <w:r>
        <w:rPr>
          <w:rFonts w:ascii="Noto Sans CJK SC" w:hAnsi="Noto Sans CJK SC" w:eastAsia="Noto Sans CJK SC"/>
          <w:color w:val="1F1F1F"/>
          <w:sz w:val="25"/>
        </w:rPr>
        <w:t>面向1215–1300 MHz星载有源传感器与RNSS接收机共存研究</w:t>
        <w:br/>
        <w:t>解释两份报告做了什么、怎样做、得到什么结果，以及如何用于项目</w:t>
      </w:r>
    </w:p>
    <w:tbl>
      <w:tblPr>
        <w:tblStyle w:val="TableGrid"/>
        <w:tblW w:type="auto" w:w="0"/>
        <w:jc w:val="center"/>
        <w:tblLook w:firstColumn="1" w:firstRow="1" w:lastColumn="0" w:lastRow="0" w:noHBand="0" w:noVBand="1" w:val="04A0"/>
      </w:tblPr>
      <w:tblGrid>
        <w:gridCol w:w="4734"/>
        <w:gridCol w:w="4734"/>
      </w:tblGrid>
      <w:tr>
        <w:tc>
          <w:tcPr>
            <w:tcW w:type="dxa" w:w="4734"/>
            <w:shd w:fill="D9EAF7"/>
            <w:tcMar>
              <w:top w:w="120" w:type="dxa"/>
              <w:start w:w="130" w:type="dxa"/>
              <w:bottom w:w="120" w:type="dxa"/>
              <w:end w:w="130" w:type="dxa"/>
            </w:tcMar>
          </w:tcPr>
          <w:p>
            <w:pPr>
              <w:jc w:val="center"/>
            </w:pPr>
            <w:r>
              <w:rPr>
                <w:rFonts w:ascii="Noto Sans CJK SC" w:hAnsi="Noto Sans CJK SC" w:eastAsia="Noto Sans CJK SC"/>
                <w:b/>
                <w:color w:val="1F4E78"/>
              </w:rPr>
              <w:t>报告一</w:t>
            </w:r>
          </w:p>
        </w:tc>
        <w:tc>
          <w:tcPr>
            <w:tcW w:type="dxa" w:w="4734"/>
            <w:tcMar>
              <w:top w:w="120" w:type="dxa"/>
              <w:start w:w="130" w:type="dxa"/>
              <w:bottom w:w="120" w:type="dxa"/>
              <w:end w:w="130" w:type="dxa"/>
            </w:tcMar>
          </w:tcPr>
          <w:p>
            <w:r>
              <w:rPr>
                <w:rFonts w:ascii="Noto Sans CJK SC" w:hAnsi="Noto Sans CJK SC" w:eastAsia="Noto Sans CJK SC"/>
              </w:rPr>
              <w:t>Report ITU-R M.2220-1（11/2021）</w:t>
            </w:r>
          </w:p>
        </w:tc>
      </w:tr>
      <w:tr>
        <w:tc>
          <w:tcPr>
            <w:tcW w:type="dxa" w:w="4734"/>
            <w:shd w:fill="D9EAF7"/>
            <w:tcMar>
              <w:top w:w="120" w:type="dxa"/>
              <w:start w:w="130" w:type="dxa"/>
              <w:bottom w:w="120" w:type="dxa"/>
              <w:end w:w="130" w:type="dxa"/>
            </w:tcMar>
          </w:tcPr>
          <w:p>
            <w:pPr>
              <w:jc w:val="center"/>
            </w:pPr>
            <w:r>
              <w:rPr>
                <w:rFonts w:ascii="Noto Sans CJK SC" w:hAnsi="Noto Sans CJK SC" w:eastAsia="Noto Sans CJK SC"/>
                <w:b/>
                <w:color w:val="1F4E78"/>
              </w:rPr>
              <w:t>报告二</w:t>
            </w:r>
          </w:p>
        </w:tc>
        <w:tc>
          <w:tcPr>
            <w:tcW w:type="dxa" w:w="4734"/>
            <w:tcMar>
              <w:top w:w="120" w:type="dxa"/>
              <w:start w:w="130" w:type="dxa"/>
              <w:bottom w:w="120" w:type="dxa"/>
              <w:end w:w="130" w:type="dxa"/>
            </w:tcMar>
          </w:tcPr>
          <w:p>
            <w:r>
              <w:rPr>
                <w:rFonts w:ascii="Noto Sans CJK SC" w:hAnsi="Noto Sans CJK SC" w:eastAsia="Noto Sans CJK SC"/>
              </w:rPr>
              <w:t>Report ITU-R M.2305-1（11/2025，2026电子出版）</w:t>
            </w:r>
          </w:p>
        </w:tc>
      </w:tr>
      <w:tr>
        <w:tc>
          <w:tcPr>
            <w:tcW w:type="dxa" w:w="4734"/>
            <w:shd w:fill="D9EAF7"/>
            <w:tcMar>
              <w:top w:w="120" w:type="dxa"/>
              <w:start w:w="130" w:type="dxa"/>
              <w:bottom w:w="120" w:type="dxa"/>
              <w:end w:w="130" w:type="dxa"/>
            </w:tcMar>
          </w:tcPr>
          <w:p>
            <w:pPr>
              <w:jc w:val="center"/>
            </w:pPr>
            <w:r>
              <w:rPr>
                <w:rFonts w:ascii="Noto Sans CJK SC" w:hAnsi="Noto Sans CJK SC" w:eastAsia="Noto Sans CJK SC"/>
                <w:b/>
                <w:color w:val="1F4E78"/>
              </w:rPr>
              <w:t>方法主线</w:t>
            </w:r>
          </w:p>
        </w:tc>
        <w:tc>
          <w:tcPr>
            <w:tcW w:type="dxa" w:w="4734"/>
            <w:tcMar>
              <w:top w:w="120" w:type="dxa"/>
              <w:start w:w="130" w:type="dxa"/>
              <w:bottom w:w="120" w:type="dxa"/>
              <w:end w:w="130" w:type="dxa"/>
            </w:tcMar>
          </w:tcPr>
          <w:p>
            <w:r>
              <w:rPr>
                <w:rFonts w:ascii="Noto Sans CJK SC" w:hAnsi="Noto Sans CJK SC" w:eastAsia="Noto Sans CJK SC"/>
              </w:rPr>
              <w:t>源—路径—接收机参数化 → 强/弱脉冲聚合 → 轨道与多星同时照射统计</w:t>
            </w:r>
          </w:p>
        </w:tc>
      </w:tr>
      <w:tr>
        <w:tc>
          <w:tcPr>
            <w:tcW w:type="dxa" w:w="4734"/>
            <w:shd w:fill="D9EAF7"/>
            <w:tcMar>
              <w:top w:w="120" w:type="dxa"/>
              <w:start w:w="130" w:type="dxa"/>
              <w:bottom w:w="120" w:type="dxa"/>
              <w:end w:w="130" w:type="dxa"/>
            </w:tcMar>
          </w:tcPr>
          <w:p>
            <w:pPr>
              <w:jc w:val="center"/>
            </w:pPr>
            <w:r>
              <w:rPr>
                <w:rFonts w:ascii="Noto Sans CJK SC" w:hAnsi="Noto Sans CJK SC" w:eastAsia="Noto Sans CJK SC"/>
                <w:b/>
                <w:color w:val="1F4E78"/>
              </w:rPr>
              <w:t>文档性质</w:t>
            </w:r>
          </w:p>
        </w:tc>
        <w:tc>
          <w:tcPr>
            <w:tcW w:type="dxa" w:w="4734"/>
            <w:tcMar>
              <w:top w:w="120" w:type="dxa"/>
              <w:start w:w="130" w:type="dxa"/>
              <w:bottom w:w="120" w:type="dxa"/>
              <w:end w:w="130" w:type="dxa"/>
            </w:tcMar>
          </w:tcPr>
          <w:p>
            <w:r>
              <w:rPr>
                <w:rFonts w:ascii="Noto Sans CJK SC" w:hAnsi="Noto Sans CJK SC" w:eastAsia="Noto Sans CJK SC"/>
              </w:rPr>
              <w:t>基于ITU-R原文的中文技术解读；工程延伸内容已单独标注</w:t>
            </w:r>
          </w:p>
        </w:tc>
      </w:tr>
    </w:tbl>
    <w:p>
      <w:pPr>
        <w:spacing w:before="700"/>
        <w:jc w:val="center"/>
      </w:pPr>
      <w:r>
        <w:rPr>
          <w:rFonts w:ascii="Noto Sans CJK SC" w:hAnsi="Noto Sans CJK SC" w:eastAsia="Noto Sans CJK SC"/>
          <w:color w:val="666666"/>
          <w:sz w:val="20"/>
        </w:rPr>
        <w:t>整理日期：2026年10月19日</w:t>
      </w:r>
    </w:p>
    <w:p>
      <w:r>
        <w:br w:type="page"/>
      </w:r>
    </w:p>
    <w:p>
      <w:pPr>
        <w:pStyle w:val="Heading1"/>
        <w:keepNext/>
        <w:spacing w:before="300" w:after="160"/>
      </w:pPr>
      <w:r>
        <w:rPr>
          <w:rFonts w:ascii="Noto Serif CJK SC" w:hAnsi="Noto Serif CJK SC" w:eastAsia="Noto Serif CJK SC"/>
          <w:b/>
          <w:color w:val="1F4E78"/>
          <w:sz w:val="32"/>
        </w:rPr>
        <w:t>阅读说明</w:t>
      </w:r>
    </w:p>
    <w:p>
      <w:pPr>
        <w:keepNext w:val="0"/>
        <w:spacing w:before="0" w:after="120" w:line="348" w:lineRule="auto"/>
        <w:ind w:firstLine="420"/>
      </w:pPr>
      <w:r>
        <w:rPr>
          <w:rFonts w:ascii="Noto Sans CJK SC" w:hAnsi="Noto Sans CJK SC" w:eastAsia="Noto Sans CJK SC"/>
        </w:rPr>
        <w:t>M.2220-1和M.2305-1均为ITU-R研究报告（Report），不是具有“做出建议”条款的建议书。前者解决“怎样把复杂脉冲环境转化为M.2030所需的PDC、RI等参数”，后者解决“多个星载有源传感器何时会同时照射同一RNSS接收机、这种事件发生多少次和持续多久”。它们互为补充，但都不能单独完成最终兼容性判定。</w:t>
      </w:r>
    </w:p>
    <w:tbl>
      <w:tblPr>
        <w:tblW w:type="auto" w:w="0"/>
        <w:jc w:val="center"/>
        <w:tblLook w:firstColumn="1" w:firstRow="1" w:lastColumn="0" w:lastRow="0" w:noHBand="0" w:noVBand="1" w:val="04A0"/>
      </w:tblPr>
      <w:tblGrid>
        <w:gridCol w:w="9468"/>
      </w:tblGrid>
      <w:tr>
        <w:tc>
          <w:tcPr>
            <w:tcW w:type="dxa" w:w="9468"/>
            <w:shd w:fill="E2F0D9"/>
            <w:tcMar>
              <w:top w:w="130" w:type="dxa"/>
              <w:start w:w="170" w:type="dxa"/>
              <w:bottom w:w="130" w:type="dxa"/>
              <w:end w:w="170" w:type="dxa"/>
            </w:tcMar>
          </w:tcPr>
          <w:p>
            <w:r>
              <w:rPr>
                <w:rFonts w:ascii="Noto Sans CJK SC" w:hAnsi="Noto Sans CJK SC" w:eastAsia="Noto Sans CJK SC"/>
                <w:b/>
                <w:color w:val="1F4E78"/>
              </w:rPr>
              <w:t>最简记忆</w:t>
            </w:r>
          </w:p>
          <w:p>
            <w:pPr>
              <w:spacing w:before="0" w:after="0" w:line="331" w:lineRule="auto"/>
            </w:pPr>
            <w:r>
              <w:rPr>
                <w:rFonts w:ascii="Noto Sans CJK SC" w:hAnsi="Noto Sans CJK SC" w:eastAsia="Noto Sans CJK SC"/>
              </w:rPr>
              <w:t>M.2220-1是“参数计算引擎”：把发射机、传播、天线、滤波器和接收机门限转换为聚合PDC与RI。</w:t>
              <w:br/>
              <w:t>M.2305-1是“事件统计引擎”：用轨道、波束和时间仿真找出多星同时照射事件的次数与持续时间。</w:t>
              <w:br/>
              <w:t>M.2030才是“性能判定引擎”：把PDC、RI和连续干扰基线转换成RNSS性能劣化。</w:t>
            </w:r>
          </w:p>
        </w:tc>
      </w:tr>
    </w:tbl>
    <w:p>
      <w:pPr>
        <w:spacing w:after="0"/>
      </w:pPr>
    </w:p>
    <w:p>
      <w:pPr>
        <w:pStyle w:val="Heading1"/>
        <w:keepNext/>
        <w:spacing w:before="300" w:after="160"/>
      </w:pPr>
      <w:r>
        <w:rPr>
          <w:rFonts w:ascii="Noto Serif CJK SC" w:hAnsi="Noto Serif CJK SC" w:eastAsia="Noto Serif CJK SC"/>
          <w:b/>
          <w:color w:val="1F4E78"/>
          <w:sz w:val="32"/>
        </w:rPr>
        <w:t>目录</w:t>
      </w:r>
    </w:p>
    <w:p>
      <w:r>
        <w:fldChar w:fldCharType="begin"/>
        <w:instrText xml:space="preserve">TOC \o "1-3" \h \z \u</w:instrText>
        <w:fldChar w:fldCharType="separate">
          <w:t>打开文档后右击目录并选择“更新域—更新整个目录”。</w:t>
        </w:fldChar>
        <w:fldChar w:fldCharType="end"/>
      </w:r>
    </w:p>
    <w:p>
      <w:r>
        <w:br w:type="page"/>
      </w:r>
    </w:p>
    <w:p>
      <w:pPr>
        <w:pStyle w:val="Heading1"/>
        <w:keepNext/>
        <w:spacing w:before="300" w:after="160"/>
      </w:pPr>
      <w:r>
        <w:rPr>
          <w:rFonts w:ascii="Noto Serif CJK SC" w:hAnsi="Noto Serif CJK SC" w:eastAsia="Noto Serif CJK SC"/>
          <w:b/>
          <w:color w:val="1F4E78"/>
          <w:sz w:val="32"/>
        </w:rPr>
        <w:t>执行摘要</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比较项</w:t>
            </w:r>
          </w:p>
        </w:tc>
        <w:tc>
          <w:tcPr>
            <w:tcW w:type="dxa" w:w="362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M.2220-1</w:t>
            </w:r>
          </w:p>
        </w:tc>
        <w:tc>
          <w:tcPr>
            <w:tcW w:type="dxa" w:w="362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M.2305-1</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核心问题</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真实脉冲环境如何参数化？</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多个EESS传感器何时形成同时照射？</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主要输入</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发射机、位置、天线、波形、传播、接收机滤波与门限</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轨道、波束、天线方向图、接收机位置、强脉冲门限</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主要输出</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聚合PDC/PDCLIM、RI及连续干扰参数</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事件次数、持续时间、纬度分布和同时照射窗口</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主要工具</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源—路径—接收机模型、GREET、碰撞模型、解析计算</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STK轨道仿真、RIP记录、MATLAB后处理</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能否直接判定合格</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不能；输出送入M.2030</w:t>
            </w:r>
          </w:p>
        </w:tc>
        <w:tc>
          <w:tcPr>
            <w:tcW w:type="dxa" w:w="3628"/>
            <w:tcMar>
              <w:top w:w="90" w:type="dxa"/>
              <w:start w:w="110" w:type="dxa"/>
              <w:bottom w:w="90" w:type="dxa"/>
              <w:end w:w="110" w:type="dxa"/>
            </w:tcMar>
            <w:vAlign w:val="center"/>
          </w:tcPr>
          <w:p>
            <w:pPr>
              <w:jc w:val="left"/>
            </w:pPr>
            <w:r>
              <w:rPr>
                <w:rFonts w:ascii="Noto Sans CJK SC" w:hAnsi="Noto Sans CJK SC" w:eastAsia="Noto Sans CJK SC"/>
                <w:sz w:val="17"/>
              </w:rPr>
              <w:t>不能；需用实际参数并接M.2220/M.2030</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主要价值</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建立可复算的干扰参数基线</w:t>
            </w:r>
          </w:p>
        </w:tc>
        <w:tc>
          <w:tcPr>
            <w:tcW w:type="dxa" w:w="3628"/>
            <w:tcMar>
              <w:top w:w="90" w:type="dxa"/>
              <w:start w:w="110" w:type="dxa"/>
              <w:bottom w:w="90" w:type="dxa"/>
              <w:end w:w="110" w:type="dxa"/>
            </w:tcMar>
            <w:vAlign w:val="center"/>
            <w:shd w:fill="EEF5FA"/>
          </w:tcPr>
          <w:p>
            <w:pPr>
              <w:jc w:val="left"/>
            </w:pPr>
            <w:r>
              <w:rPr>
                <w:rFonts w:ascii="Noto Sans CJK SC" w:hAnsi="Noto Sans CJK SC" w:eastAsia="Noto Sans CJK SC"/>
                <w:sz w:val="17"/>
              </w:rPr>
              <w:t>把静态最坏值扩展为动态概率和持续时间</w:t>
            </w:r>
          </w:p>
        </w:tc>
      </w:tr>
    </w:tbl>
    <w:p>
      <w:pPr>
        <w:spacing w:after="0"/>
      </w:pPr>
    </w:p>
    <w:p>
      <w:pPr>
        <w:keepNext w:val="0"/>
        <w:spacing w:before="0" w:after="120" w:line="348" w:lineRule="auto"/>
        <w:ind w:firstLine="420"/>
      </w:pPr>
      <w:r>
        <w:rPr>
          <w:rFonts w:ascii="Noto Sans CJK SC" w:hAnsi="Noto Sans CJK SC" w:eastAsia="Noto Sans CJK SC"/>
        </w:rPr>
        <w:t>两份报告组合以后，工程分析不再只是计算一个“最坏峰值功率”，而是形成一条可追溯链条：先识别每个脉冲源在接收机端是强脉冲还是弱脉冲，再计算聚合PDC和RI；随后用轨道级仿真确定这些干扰状态在时间和空间上何时同时出现；最后将逐时刻参数输入M.2030，计算劣化和超限统计。</w:t>
      </w:r>
    </w:p>
    <w:p>
      <w:pPr>
        <w:pStyle w:val="Heading1"/>
        <w:keepNext/>
        <w:spacing w:before="300" w:after="160"/>
      </w:pPr>
      <w:r>
        <w:rPr>
          <w:rFonts w:ascii="Noto Serif CJK SC" w:hAnsi="Noto Serif CJK SC" w:eastAsia="Noto Serif CJK SC"/>
          <w:b/>
          <w:color w:val="1F4E78"/>
          <w:sz w:val="32"/>
        </w:rPr>
        <w:t>第一篇：Report ITU-R M.2220-1详细解读</w:t>
      </w:r>
    </w:p>
    <w:p>
      <w:pPr>
        <w:pStyle w:val="Heading2"/>
        <w:keepNext/>
        <w:spacing w:before="220" w:after="100"/>
      </w:pPr>
      <w:r>
        <w:rPr>
          <w:rFonts w:ascii="Noto Serif CJK SC" w:hAnsi="Noto Serif CJK SC" w:eastAsia="Noto Serif CJK SC"/>
          <w:b/>
          <w:color w:val="1F4E78"/>
          <w:sz w:val="26"/>
        </w:rPr>
        <w:t>1. 报告要解决什么问题</w:t>
      </w:r>
    </w:p>
    <w:p>
      <w:pPr>
        <w:keepNext w:val="0"/>
        <w:spacing w:before="0" w:after="120" w:line="348" w:lineRule="auto"/>
        <w:ind w:firstLine="420"/>
      </w:pPr>
      <w:r>
        <w:rPr>
          <w:rFonts w:ascii="Noto Sans CJK SC" w:hAnsi="Noto Sans CJK SC" w:eastAsia="Noto Sans CJK SC"/>
        </w:rPr>
        <w:t>M.2220-1面对的不是一个单独雷达，而是由地面、机载和星载脉冲源共同构成的复杂环境。它提出一种统一计算方法，把所有带内和邻带脉冲源在RNSS接收机端的作用，压缩成一对可供M.2030使用的聚合参数：强脉冲时间损失参数PDC（或PDCLIM/PDCB）和弱脉冲等效噪声参数RI。</w:t>
      </w:r>
    </w:p>
    <w:p>
      <w:pPr>
        <w:keepNext w:val="0"/>
        <w:spacing w:before="0" w:after="120" w:line="348" w:lineRule="auto"/>
        <w:ind w:firstLine="420"/>
      </w:pPr>
      <w:r>
        <w:rPr>
          <w:rFonts w:ascii="Noto Sans CJK SC" w:hAnsi="Noto Sans CJK SC" w:eastAsia="Noto Sans CJK SC"/>
        </w:rPr>
        <w:t>报告覆盖两类频段：1164–1215 MHz主要面向航空RNSS接收机及DME/TACAN、CNI、ATC/TCAS环境；1215–1300 MHz主要面向地面RNSS接收机、地面监视雷达和星载SAR。报告同时给出高空、低空和地面接收机的计算实例，并用附件A说明GREET工具如何建立固定脉冲发射机数据库和传播环境。</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M.2220-1，§1、§1.3，PDF第4–6页；目录见PDF第3页。</w:t>
      </w:r>
    </w:p>
    <w:p>
      <w:pPr>
        <w:pStyle w:val="Heading2"/>
        <w:keepNext/>
        <w:spacing w:before="220" w:after="100"/>
      </w:pPr>
      <w:r>
        <w:rPr>
          <w:rFonts w:ascii="Noto Serif CJK SC" w:hAnsi="Noto Serif CJK SC" w:eastAsia="Noto Serif CJK SC"/>
          <w:b/>
          <w:color w:val="1F4E78"/>
          <w:sz w:val="26"/>
        </w:rPr>
        <w:t>2. 它在整个ITU-R方法体系中的位置</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158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层级</w:t>
            </w:r>
          </w:p>
        </w:tc>
        <w:tc>
          <w:tcPr>
            <w:tcW w:type="dxa" w:w="204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文件/模型</w:t>
            </w:r>
          </w:p>
        </w:tc>
        <w:tc>
          <w:tcPr>
            <w:tcW w:type="dxa" w:w="527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作用</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7"/>
              </w:rPr>
              <w:t>环境建模</w:t>
            </w:r>
          </w:p>
        </w:tc>
        <w:tc>
          <w:tcPr>
            <w:tcW w:type="dxa" w:w="2041"/>
            <w:tcMar>
              <w:top w:w="90" w:type="dxa"/>
              <w:start w:w="110" w:type="dxa"/>
              <w:bottom w:w="90" w:type="dxa"/>
              <w:end w:w="110" w:type="dxa"/>
            </w:tcMar>
            <w:vAlign w:val="center"/>
          </w:tcPr>
          <w:p>
            <w:pPr>
              <w:jc w:val="left"/>
            </w:pPr>
            <w:r>
              <w:rPr>
                <w:rFonts w:ascii="Noto Sans CJK SC" w:hAnsi="Noto Sans CJK SC" w:eastAsia="Noto Sans CJK SC"/>
                <w:sz w:val="17"/>
              </w:rPr>
              <w:t>M.2220-1</w:t>
            </w:r>
          </w:p>
        </w:tc>
        <w:tc>
          <w:tcPr>
            <w:tcW w:type="dxa" w:w="5272"/>
            <w:tcMar>
              <w:top w:w="90" w:type="dxa"/>
              <w:start w:w="110" w:type="dxa"/>
              <w:bottom w:w="90" w:type="dxa"/>
              <w:end w:w="110" w:type="dxa"/>
            </w:tcMar>
            <w:vAlign w:val="center"/>
          </w:tcPr>
          <w:p>
            <w:pPr>
              <w:jc w:val="left"/>
            </w:pPr>
            <w:r>
              <w:rPr>
                <w:rFonts w:ascii="Noto Sans CJK SC" w:hAnsi="Noto Sans CJK SC" w:eastAsia="Noto Sans CJK SC"/>
                <w:sz w:val="17"/>
              </w:rPr>
              <w:t>把多个实际脉冲源转换成PDC、RI等模型输入</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7"/>
              </w:rPr>
              <w:t>性能计算</w:t>
            </w:r>
          </w:p>
        </w:tc>
        <w:tc>
          <w:tcPr>
            <w:tcW w:type="dxa" w:w="2041"/>
            <w:tcMar>
              <w:top w:w="90" w:type="dxa"/>
              <w:start w:w="110" w:type="dxa"/>
              <w:bottom w:w="90" w:type="dxa"/>
              <w:end w:w="110" w:type="dxa"/>
            </w:tcMar>
            <w:vAlign w:val="center"/>
            <w:shd w:fill="EEF5FA"/>
          </w:tcPr>
          <w:p>
            <w:pPr>
              <w:jc w:val="left"/>
            </w:pPr>
            <w:r>
              <w:rPr>
                <w:rFonts w:ascii="Noto Sans CJK SC" w:hAnsi="Noto Sans CJK SC" w:eastAsia="Noto Sans CJK SC"/>
                <w:sz w:val="17"/>
              </w:rPr>
              <w:t>M.2030</w:t>
            </w:r>
          </w:p>
        </w:tc>
        <w:tc>
          <w:tcPr>
            <w:tcW w:type="dxa" w:w="5272"/>
            <w:tcMar>
              <w:top w:w="90" w:type="dxa"/>
              <w:start w:w="110" w:type="dxa"/>
              <w:bottom w:w="90" w:type="dxa"/>
              <w:end w:w="110" w:type="dxa"/>
            </w:tcMar>
            <w:vAlign w:val="center"/>
            <w:shd w:fill="EEF5FA"/>
          </w:tcPr>
          <w:p>
            <w:pPr>
              <w:jc w:val="left"/>
            </w:pPr>
            <w:r>
              <w:rPr>
                <w:rFonts w:ascii="Noto Sans CJK SC" w:hAnsi="Noto Sans CJK SC" w:eastAsia="Noto Sans CJK SC"/>
                <w:sz w:val="17"/>
              </w:rPr>
              <w:t>根据PDC、RI、连续干扰和接收机NLIM计算有效噪声与新增劣化</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7"/>
              </w:rPr>
              <w:t>SAR算例</w:t>
            </w:r>
          </w:p>
        </w:tc>
        <w:tc>
          <w:tcPr>
            <w:tcW w:type="dxa" w:w="2041"/>
            <w:tcMar>
              <w:top w:w="90" w:type="dxa"/>
              <w:start w:w="110" w:type="dxa"/>
              <w:bottom w:w="90" w:type="dxa"/>
              <w:end w:w="110" w:type="dxa"/>
            </w:tcMar>
            <w:vAlign w:val="center"/>
          </w:tcPr>
          <w:p>
            <w:pPr>
              <w:jc w:val="left"/>
            </w:pPr>
            <w:r>
              <w:rPr>
                <w:rFonts w:ascii="Noto Sans CJK SC" w:hAnsi="Noto Sans CJK SC" w:eastAsia="Noto Sans CJK SC"/>
                <w:sz w:val="17"/>
              </w:rPr>
              <w:t>RS.2537-0</w:t>
            </w:r>
          </w:p>
        </w:tc>
        <w:tc>
          <w:tcPr>
            <w:tcW w:type="dxa" w:w="5272"/>
            <w:tcMar>
              <w:top w:w="90" w:type="dxa"/>
              <w:start w:w="110" w:type="dxa"/>
              <w:bottom w:w="90" w:type="dxa"/>
              <w:end w:w="110" w:type="dxa"/>
            </w:tcMar>
            <w:vAlign w:val="center"/>
          </w:tcPr>
          <w:p>
            <w:pPr>
              <w:jc w:val="left"/>
            </w:pPr>
            <w:r>
              <w:rPr>
                <w:rFonts w:ascii="Noto Sans CJK SC" w:hAnsi="Noto Sans CJK SC" w:eastAsia="Noto Sans CJK SC"/>
                <w:sz w:val="17"/>
              </w:rPr>
              <w:t>把M.2030/M.2220用于1215–1300 MHz星载SAR单源初评</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7"/>
              </w:rPr>
              <w:t>动态聚合</w:t>
            </w:r>
          </w:p>
        </w:tc>
        <w:tc>
          <w:tcPr>
            <w:tcW w:type="dxa" w:w="2041"/>
            <w:tcMar>
              <w:top w:w="90" w:type="dxa"/>
              <w:start w:w="110" w:type="dxa"/>
              <w:bottom w:w="90" w:type="dxa"/>
              <w:end w:w="110" w:type="dxa"/>
            </w:tcMar>
            <w:vAlign w:val="center"/>
            <w:shd w:fill="EEF5FA"/>
          </w:tcPr>
          <w:p>
            <w:pPr>
              <w:jc w:val="left"/>
            </w:pPr>
            <w:r>
              <w:rPr>
                <w:rFonts w:ascii="Noto Sans CJK SC" w:hAnsi="Noto Sans CJK SC" w:eastAsia="Noto Sans CJK SC"/>
                <w:sz w:val="17"/>
              </w:rPr>
              <w:t>M.2305-1</w:t>
            </w:r>
          </w:p>
        </w:tc>
        <w:tc>
          <w:tcPr>
            <w:tcW w:type="dxa" w:w="5272"/>
            <w:tcMar>
              <w:top w:w="90" w:type="dxa"/>
              <w:start w:w="110" w:type="dxa"/>
              <w:bottom w:w="90" w:type="dxa"/>
              <w:end w:w="110" w:type="dxa"/>
            </w:tcMar>
            <w:vAlign w:val="center"/>
            <w:shd w:fill="EEF5FA"/>
          </w:tcPr>
          <w:p>
            <w:pPr>
              <w:jc w:val="left"/>
            </w:pPr>
            <w:r>
              <w:rPr>
                <w:rFonts w:ascii="Noto Sans CJK SC" w:hAnsi="Noto Sans CJK SC" w:eastAsia="Noto Sans CJK SC"/>
                <w:sz w:val="17"/>
              </w:rPr>
              <w:t>判断多个EESS传感器同时照射事件的发生时间、次数和持续时间</w:t>
            </w:r>
          </w:p>
        </w:tc>
      </w:tr>
    </w:tbl>
    <w:p>
      <w:pPr>
        <w:spacing w:after="0"/>
      </w:pPr>
    </w:p>
    <w:tbl>
      <w:tblPr>
        <w:tblW w:type="auto" w:w="0"/>
        <w:jc w:val="center"/>
        <w:tblLook w:firstColumn="1" w:firstRow="1" w:lastColumn="0" w:lastRow="0" w:noHBand="0" w:noVBand="1" w:val="04A0"/>
      </w:tblPr>
      <w:tblGrid>
        <w:gridCol w:w="9468"/>
      </w:tblGrid>
      <w:tr>
        <w:tc>
          <w:tcPr>
            <w:tcW w:type="dxa" w:w="9468"/>
            <w:shd w:fill="FCE4D6"/>
            <w:tcMar>
              <w:top w:w="130" w:type="dxa"/>
              <w:start w:w="170" w:type="dxa"/>
              <w:bottom w:w="130" w:type="dxa"/>
              <w:end w:w="170" w:type="dxa"/>
            </w:tcMar>
          </w:tcPr>
          <w:p>
            <w:r>
              <w:rPr>
                <w:rFonts w:ascii="Noto Sans CJK SC" w:hAnsi="Noto Sans CJK SC" w:eastAsia="Noto Sans CJK SC"/>
                <w:b/>
                <w:color w:val="1F4E78"/>
              </w:rPr>
              <w:t>容易混淆的地方</w:t>
            </w:r>
          </w:p>
          <w:p>
            <w:pPr>
              <w:spacing w:before="0" w:after="0" w:line="331" w:lineRule="auto"/>
            </w:pPr>
            <w:r>
              <w:rPr>
                <w:rFonts w:ascii="Noto Sans CJK SC" w:hAnsi="Noto Sans CJK SC" w:eastAsia="Noto Sans CJK SC"/>
              </w:rPr>
              <w:t>M.2220-1不直接规定“允许劣化0.1 dB或0.2 dB”。它的任务是生成输入参数。保护限值和劣化公式来自M.2030及具体RNSS接收机建议书。</w:t>
            </w:r>
          </w:p>
        </w:tc>
      </w:tr>
    </w:tbl>
    <w:p>
      <w:pPr>
        <w:spacing w:after="0"/>
      </w:pPr>
    </w:p>
    <w:p>
      <w:pPr>
        <w:pStyle w:val="Heading2"/>
        <w:keepNext/>
        <w:spacing w:before="220" w:after="100"/>
      </w:pPr>
      <w:r>
        <w:rPr>
          <w:rFonts w:ascii="Noto Serif CJK SC" w:hAnsi="Noto Serif CJK SC" w:eastAsia="Noto Serif CJK SC"/>
          <w:b/>
          <w:color w:val="1F4E78"/>
          <w:sz w:val="26"/>
        </w:rPr>
        <w:t>3. 基本框架：源—路径—接收机</w:t>
      </w:r>
    </w:p>
    <w:p>
      <w:pPr>
        <w:keepNext w:val="0"/>
        <w:spacing w:before="0" w:after="120" w:line="348" w:lineRule="auto"/>
        <w:ind w:firstLine="420"/>
      </w:pPr>
      <w:r>
        <w:rPr>
          <w:rFonts w:ascii="Noto Sans CJK SC" w:hAnsi="Noto Sans CJK SC" w:eastAsia="Noto Sans CJK SC"/>
        </w:rPr>
        <w:t>报告把分析拆成三个互相关联的模块：</w:t>
      </w:r>
    </w:p>
    <w:p>
      <w:pPr>
        <w:pStyle w:val="ListNumber"/>
        <w:spacing w:before="0" w:after="60" w:line="317" w:lineRule="auto"/>
        <w:ind w:left="425" w:hanging="255"/>
      </w:pPr>
      <w:r>
        <w:rPr>
          <w:rFonts w:ascii="Noto Sans CJK SC" w:hAnsi="Noto Sans CJK SC" w:eastAsia="Noto Sans CJK SC"/>
        </w:rPr>
        <w:t>源模型：发射机位置、工作频率、峰值功率、发射谱、脉宽、PRF、天线方向图和扫描方式。</w:t>
      </w:r>
    </w:p>
    <w:p>
      <w:pPr>
        <w:pStyle w:val="ListNumber"/>
        <w:spacing w:before="0" w:after="60" w:line="317" w:lineRule="auto"/>
        <w:ind w:left="425" w:hanging="255"/>
      </w:pPr>
      <w:r>
        <w:rPr>
          <w:rFonts w:ascii="Noto Sans CJK SC" w:hAnsi="Noto Sans CJK SC" w:eastAsia="Noto Sans CJK SC"/>
        </w:rPr>
        <w:t>路径模型：发射机与RNSS接收机的距离、视距条件、传播损耗、到达角及接收天线方向增益。</w:t>
      </w:r>
    </w:p>
    <w:p>
      <w:pPr>
        <w:pStyle w:val="ListNumber"/>
        <w:spacing w:before="0" w:after="60" w:line="317" w:lineRule="auto"/>
        <w:ind w:left="425" w:hanging="255"/>
      </w:pPr>
      <w:r>
        <w:rPr>
          <w:rFonts w:ascii="Noto Sans CJK SC" w:hAnsi="Noto Sans CJK SC" w:eastAsia="Noto Sans CJK SC"/>
        </w:rPr>
        <w:t>接收机模型：天线、RF/IF滤波器、脉冲熄减或饱和方式、饱和/熄减门限、过载恢复时间、AGC和ADC特性。</w:t>
      </w:r>
    </w:p>
    <w:p>
      <w:pPr>
        <w:keepNext w:val="0"/>
        <w:spacing w:before="0" w:after="120" w:line="348" w:lineRule="auto"/>
        <w:ind w:firstLine="420"/>
      </w:pPr>
      <w:r>
        <w:rPr>
          <w:rFonts w:ascii="Noto Sans CJK SC" w:hAnsi="Noto Sans CJK SC" w:eastAsia="Noto Sans CJK SC"/>
        </w:rPr>
        <w:t>这种拆分的价值在于：同一个发射机并不天然属于“强脉冲”或“弱脉冲”。它经过传播损耗、天线增益和滤波衰减后，只有在特定几何位置和特定接收机上才会超过熄减或饱和门限。</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M.2220-1，§2.1，PDF第6页。</w:t>
      </w:r>
    </w:p>
    <w:p>
      <w:pPr>
        <w:pStyle w:val="Heading2"/>
        <w:keepNext/>
        <w:spacing w:before="220" w:after="100"/>
      </w:pPr>
      <w:r>
        <w:rPr>
          <w:rFonts w:ascii="Noto Serif CJK SC" w:hAnsi="Noto Serif CJK SC" w:eastAsia="Noto Serif CJK SC"/>
          <w:b/>
          <w:color w:val="1F4E78"/>
          <w:sz w:val="26"/>
        </w:rPr>
        <w:t>4. 报告建立的四类运行场景</w:t>
      </w: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场景</w:t>
            </w:r>
          </w:p>
        </w:tc>
        <w:tc>
          <w:tcPr>
            <w:tcW w:type="dxa" w:w="209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主要受扰对象</w:t>
            </w:r>
          </w:p>
        </w:tc>
        <w:tc>
          <w:tcPr>
            <w:tcW w:type="dxa" w:w="255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主要脉冲源</w:t>
            </w:r>
          </w:p>
        </w:tc>
        <w:tc>
          <w:tcPr>
            <w:tcW w:type="dxa" w:w="255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分析特点</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6"/>
              </w:rPr>
              <w:t>高空航空场景</w:t>
            </w:r>
          </w:p>
        </w:tc>
        <w:tc>
          <w:tcPr>
            <w:tcW w:type="dxa" w:w="2098"/>
            <w:tcMar>
              <w:top w:w="90" w:type="dxa"/>
              <w:start w:w="110" w:type="dxa"/>
              <w:bottom w:w="90" w:type="dxa"/>
              <w:end w:w="110" w:type="dxa"/>
            </w:tcMar>
            <w:vAlign w:val="center"/>
          </w:tcPr>
          <w:p>
            <w:pPr>
              <w:jc w:val="left"/>
            </w:pPr>
            <w:r>
              <w:rPr>
                <w:rFonts w:ascii="Noto Sans CJK SC" w:hAnsi="Noto Sans CJK SC" w:eastAsia="Noto Sans CJK SC"/>
                <w:sz w:val="16"/>
              </w:rPr>
              <w:t>航路飞行RNSS接收机</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地面DME/TACAN、CNI、ATC，机载DME/TCAS</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可见发射机多，聚合PDC高，重点关注热点区域</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6"/>
              </w:rPr>
              <w:t>低空进近场景</w:t>
            </w:r>
          </w:p>
        </w:tc>
        <w:tc>
          <w:tcPr>
            <w:tcW w:type="dxa" w:w="2098"/>
            <w:tcMar>
              <w:top w:w="90" w:type="dxa"/>
              <w:start w:w="110" w:type="dxa"/>
              <w:bottom w:w="90" w:type="dxa"/>
              <w:end w:w="110" w:type="dxa"/>
            </w:tcMar>
            <w:vAlign w:val="center"/>
            <w:shd w:fill="EEF5FA"/>
          </w:tcPr>
          <w:p>
            <w:pPr>
              <w:jc w:val="left"/>
            </w:pPr>
            <w:r>
              <w:rPr>
                <w:rFonts w:ascii="Noto Sans CJK SC" w:hAnsi="Noto Sans CJK SC" w:eastAsia="Noto Sans CJK SC"/>
                <w:sz w:val="16"/>
              </w:rPr>
              <w:t>终端区/进近RNSS接收机</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附近机载与地面脉冲源</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地面可见源减少，但机载源密集</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6"/>
              </w:rPr>
              <w:t>地面1164–1215 MHz</w:t>
            </w:r>
          </w:p>
        </w:tc>
        <w:tc>
          <w:tcPr>
            <w:tcW w:type="dxa" w:w="2098"/>
            <w:tcMar>
              <w:top w:w="90" w:type="dxa"/>
              <w:start w:w="110" w:type="dxa"/>
              <w:bottom w:w="90" w:type="dxa"/>
              <w:end w:w="110" w:type="dxa"/>
            </w:tcMar>
            <w:vAlign w:val="center"/>
          </w:tcPr>
          <w:p>
            <w:pPr>
              <w:jc w:val="left"/>
            </w:pPr>
            <w:r>
              <w:rPr>
                <w:rFonts w:ascii="Noto Sans CJK SC" w:hAnsi="Noto Sans CJK SC" w:eastAsia="Noto Sans CJK SC"/>
                <w:sz w:val="16"/>
              </w:rPr>
              <w:t>机场地面、高精度/参考接收机</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有限数量DME/TACAN、ATC、CNI</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几何遮挡明显，接收机常按饱和模型处理</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6"/>
              </w:rPr>
              <w:t>地面1215–1300 MHz</w:t>
            </w:r>
          </w:p>
        </w:tc>
        <w:tc>
          <w:tcPr>
            <w:tcW w:type="dxa" w:w="2098"/>
            <w:tcMar>
              <w:top w:w="90" w:type="dxa"/>
              <w:start w:w="110" w:type="dxa"/>
              <w:bottom w:w="90" w:type="dxa"/>
              <w:end w:w="110" w:type="dxa"/>
            </w:tcMar>
            <w:vAlign w:val="center"/>
            <w:shd w:fill="EEF5FA"/>
          </w:tcPr>
          <w:p>
            <w:pPr>
              <w:jc w:val="left"/>
            </w:pPr>
            <w:r>
              <w:rPr>
                <w:rFonts w:ascii="Noto Sans CJK SC" w:hAnsi="Noto Sans CJK SC" w:eastAsia="Noto Sans CJK SC"/>
                <w:sz w:val="16"/>
              </w:rPr>
              <w:t>SBAS、高精度、航空导航等接收机</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地面监视雷达、星载SAR、连续业余业务</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需同时处理地面雷达和EESS脉冲源</w:t>
            </w:r>
          </w:p>
        </w:tc>
      </w:tr>
    </w:tbl>
    <w:p>
      <w:pPr>
        <w:spacing w:after="0"/>
      </w:pP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M.2220-1，§2.1.1.1–2.1.1.4，PDF第6–8页。</w:t>
      </w:r>
    </w:p>
    <w:p>
      <w:pPr>
        <w:pStyle w:val="Heading2"/>
        <w:keepNext/>
        <w:spacing w:before="220" w:after="100"/>
      </w:pPr>
      <w:r>
        <w:rPr>
          <w:rFonts w:ascii="Noto Serif CJK SC" w:hAnsi="Noto Serif CJK SC" w:eastAsia="Noto Serif CJK SC"/>
          <w:b/>
          <w:color w:val="1F4E78"/>
          <w:sz w:val="26"/>
        </w:rPr>
        <w:t>5. 两类接收机机理</w:t>
      </w:r>
    </w:p>
    <w:p>
      <w:pPr>
        <w:pStyle w:val="Heading3"/>
        <w:keepNext/>
        <w:spacing w:before="160" w:after="80"/>
      </w:pPr>
      <w:r>
        <w:rPr>
          <w:rFonts w:ascii="Noto Serif CJK SC" w:hAnsi="Noto Serif CJK SC" w:eastAsia="Noto Serif CJK SC"/>
          <w:b/>
          <w:color w:val="1F4E78"/>
          <w:sz w:val="23"/>
        </w:rPr>
        <w:t>5.1 脉冲熄减型接收机</w:t>
      </w:r>
    </w:p>
    <w:p>
      <w:pPr>
        <w:keepNext w:val="0"/>
        <w:spacing w:before="0" w:after="120" w:line="348" w:lineRule="auto"/>
        <w:ind w:firstLine="420"/>
      </w:pPr>
      <w:r>
        <w:rPr>
          <w:rFonts w:ascii="Noto Sans CJK SC" w:hAnsi="Noto Sans CJK SC" w:eastAsia="Noto Sans CJK SC"/>
        </w:rPr>
        <w:t>航空RNSS接收机可能使用快速数字脉冲熄减器。峰值超过门限的样本在相关处理前被置零，相当于损失一段有效积分时间；低于门限的脉冲则不被熄减，而表现为额外噪声。报告指出，在相同门限下，仅对脉冲幅度进行削顶通常比完全熄减带来约两倍的dB损失，因此接收机实现方式必须明确。</w:t>
      </w:r>
    </w:p>
    <w:p>
      <w:pPr>
        <w:pStyle w:val="Heading3"/>
        <w:keepNext/>
        <w:spacing w:before="160" w:after="80"/>
      </w:pPr>
      <w:r>
        <w:rPr>
          <w:rFonts w:ascii="Noto Serif CJK SC" w:hAnsi="Noto Serif CJK SC" w:eastAsia="Noto Serif CJK SC"/>
          <w:b/>
          <w:color w:val="1F4E78"/>
          <w:sz w:val="23"/>
        </w:rPr>
        <w:t>5.2 饱和型接收机</w:t>
      </w:r>
    </w:p>
    <w:p>
      <w:pPr>
        <w:keepNext w:val="0"/>
        <w:spacing w:before="0" w:after="120" w:line="348" w:lineRule="auto"/>
        <w:ind w:firstLine="420"/>
      </w:pPr>
      <w:r>
        <w:rPr>
          <w:rFonts w:ascii="Noto Sans CJK SC" w:hAnsi="Noto Sans CJK SC" w:eastAsia="Noto Sans CJK SC"/>
        </w:rPr>
        <w:t>许多地面RNSS接收机不设置快速熄减器。强脉冲会使RF前端、AGC或ADC短时饱和；在脉冲结束后，接收机还要经历过载恢复时间。此时实际信号损失时间是“高于门限的有效脉宽+恢复时间”，恢复时间越长，PDC越大。</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M.2220-1，§2.2.1，PDF第8–9页。</w:t>
      </w:r>
    </w:p>
    <w:p>
      <w:pPr>
        <w:pStyle w:val="Heading2"/>
        <w:keepNext/>
        <w:spacing w:before="220" w:after="100"/>
      </w:pPr>
      <w:r>
        <w:rPr>
          <w:rFonts w:ascii="Noto Serif CJK SC" w:hAnsi="Noto Serif CJK SC" w:eastAsia="Noto Serif CJK SC"/>
          <w:b/>
          <w:color w:val="1F4E78"/>
          <w:sz w:val="26"/>
        </w:rPr>
        <w:t>6. 核心参数及其物理意义</w:t>
      </w: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PDC_j = (PW_j,eff + τ_r) × PRF_j</w:t>
            </w:r>
          </w:p>
          <w:p>
            <w:pPr>
              <w:jc w:val="center"/>
            </w:pPr>
            <w:r>
              <w:rPr>
                <w:rFonts w:ascii="Noto Sans CJK SC" w:hAnsi="Noto Sans CJK SC" w:eastAsia="Noto Sans CJK SC"/>
                <w:color w:val="666666"/>
                <w:sz w:val="18"/>
              </w:rPr>
              <w:t>单个强脉冲源造成的接收机失效时间比例；PW_eff为接收机端有效脉宽，τ_r为过载恢复时间。</w:t>
            </w:r>
          </w:p>
        </w:tc>
      </w:tr>
    </w:tbl>
    <w:p>
      <w:pPr>
        <w:spacing w:after="0"/>
      </w:pP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PDC_agg = 1 − ∏_j (1 − PDC_j)</w:t>
            </w:r>
          </w:p>
          <w:p>
            <w:pPr>
              <w:jc w:val="center"/>
            </w:pPr>
            <w:r>
              <w:rPr>
                <w:rFonts w:ascii="Noto Sans CJK SC" w:hAnsi="Noto Sans CJK SC" w:eastAsia="Noto Sans CJK SC"/>
                <w:color w:val="666666"/>
                <w:sz w:val="18"/>
              </w:rPr>
              <w:t>多个强脉冲源按“未受干扰时间”的乘积聚合，避免简单相加重复计算时间重叠。</w:t>
            </w:r>
          </w:p>
        </w:tc>
      </w:tr>
    </w:tbl>
    <w:p>
      <w:pPr>
        <w:spacing w:after="0"/>
      </w:pP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RI = Σ_i [P_i × dc_i / (N0 × BW)]</w:t>
            </w:r>
          </w:p>
          <w:p>
            <w:pPr>
              <w:jc w:val="center"/>
            </w:pPr>
            <w:r>
              <w:rPr>
                <w:rFonts w:ascii="Noto Sans CJK SC" w:hAnsi="Noto Sans CJK SC" w:eastAsia="Noto Sans CJK SC"/>
                <w:color w:val="666666"/>
                <w:sz w:val="18"/>
              </w:rPr>
              <w:t>多个低于门限的弱脉冲以平均功率密度相对于热噪声密度的比值求和。</w:t>
            </w:r>
          </w:p>
        </w:tc>
      </w:tr>
    </w:tbl>
    <w:p>
      <w:pPr>
        <w:spacing w:after="0"/>
      </w:pP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参数</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表示什么</w:t>
            </w:r>
          </w:p>
        </w:tc>
        <w:tc>
          <w:tcPr>
            <w:tcW w:type="dxa" w:w="255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受哪些因素控制</w:t>
            </w:r>
          </w:p>
        </w:tc>
        <w:tc>
          <w:tcPr>
            <w:tcW w:type="dxa" w:w="2324"/>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常见错误</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6"/>
              </w:rPr>
              <w:t>PDC/PDCB/PDCLIM</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6"/>
              </w:rPr>
              <w:t>强脉冲造成的净时间损失比例</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有效脉宽、PRF、恢复时间、脉冲碰撞</w:t>
            </w:r>
          </w:p>
        </w:tc>
        <w:tc>
          <w:tcPr>
            <w:tcW w:type="dxa" w:w="2324"/>
            <w:tcMar>
              <w:top w:w="90" w:type="dxa"/>
              <w:start w:w="110" w:type="dxa"/>
              <w:bottom w:w="90" w:type="dxa"/>
              <w:end w:w="110" w:type="dxa"/>
            </w:tcMar>
            <w:vAlign w:val="center"/>
          </w:tcPr>
          <w:p>
            <w:pPr>
              <w:jc w:val="left"/>
            </w:pPr>
            <w:r>
              <w:rPr>
                <w:rFonts w:ascii="Noto Sans CJK SC" w:hAnsi="Noto Sans CJK SC" w:eastAsia="Noto Sans CJK SC"/>
                <w:sz w:val="16"/>
              </w:rPr>
              <w:t>把多个源直接相加，得到超过100%的占空比</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6"/>
              </w:rPr>
              <w:t>RI</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6"/>
              </w:rPr>
              <w:t>弱脉冲产生的等效噪声贡献</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峰值功率、占空比、接收机噪声和带宽</w:t>
            </w:r>
          </w:p>
        </w:tc>
        <w:tc>
          <w:tcPr>
            <w:tcW w:type="dxa" w:w="2324"/>
            <w:tcMar>
              <w:top w:w="90" w:type="dxa"/>
              <w:start w:w="110" w:type="dxa"/>
              <w:bottom w:w="90" w:type="dxa"/>
              <w:end w:w="110" w:type="dxa"/>
            </w:tcMar>
            <w:vAlign w:val="center"/>
            <w:shd w:fill="EEF5FA"/>
          </w:tcPr>
          <w:p>
            <w:pPr>
              <w:jc w:val="left"/>
            </w:pPr>
            <w:r>
              <w:rPr>
                <w:rFonts w:ascii="Noto Sans CJK SC" w:hAnsi="Noto Sans CJK SC" w:eastAsia="Noto Sans CJK SC"/>
                <w:sz w:val="16"/>
              </w:rPr>
              <w:t>只统计强脉冲，忽略门限以下的大量脉冲</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6"/>
              </w:rPr>
              <w:t>I0,WB/N0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6"/>
              </w:rPr>
              <w:t>连续宽带干扰基线</w:t>
            </w:r>
          </w:p>
        </w:tc>
        <w:tc>
          <w:tcPr>
            <w:tcW w:type="dxa" w:w="2551"/>
            <w:tcMar>
              <w:top w:w="90" w:type="dxa"/>
              <w:start w:w="110" w:type="dxa"/>
              <w:bottom w:w="90" w:type="dxa"/>
              <w:end w:w="110" w:type="dxa"/>
            </w:tcMar>
            <w:vAlign w:val="center"/>
          </w:tcPr>
          <w:p>
            <w:pPr>
              <w:jc w:val="left"/>
            </w:pPr>
            <w:r>
              <w:rPr>
                <w:rFonts w:ascii="Noto Sans CJK SC" w:hAnsi="Noto Sans CJK SC" w:eastAsia="Noto Sans CJK SC"/>
                <w:sz w:val="16"/>
              </w:rPr>
              <w:t>其他RNSS信号、连续发射和非必要发射</w:t>
            </w:r>
          </w:p>
        </w:tc>
        <w:tc>
          <w:tcPr>
            <w:tcW w:type="dxa" w:w="2324"/>
            <w:tcMar>
              <w:top w:w="90" w:type="dxa"/>
              <w:start w:w="110" w:type="dxa"/>
              <w:bottom w:w="90" w:type="dxa"/>
              <w:end w:w="110" w:type="dxa"/>
            </w:tcMar>
            <w:vAlign w:val="center"/>
          </w:tcPr>
          <w:p>
            <w:pPr>
              <w:jc w:val="left"/>
            </w:pPr>
            <w:r>
              <w:rPr>
                <w:rFonts w:ascii="Noto Sans CJK SC" w:hAnsi="Noto Sans CJK SC" w:eastAsia="Noto Sans CJK SC"/>
                <w:sz w:val="16"/>
              </w:rPr>
              <w:t>把全部性能预算留给新脉冲源</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6"/>
              </w:rPr>
              <w:t>τr</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6"/>
              </w:rPr>
              <w:t>过载后恢复到可用状态所需时间</w:t>
            </w:r>
          </w:p>
        </w:tc>
        <w:tc>
          <w:tcPr>
            <w:tcW w:type="dxa" w:w="2551"/>
            <w:tcMar>
              <w:top w:w="90" w:type="dxa"/>
              <w:start w:w="110" w:type="dxa"/>
              <w:bottom w:w="90" w:type="dxa"/>
              <w:end w:w="110" w:type="dxa"/>
            </w:tcMar>
            <w:vAlign w:val="center"/>
            <w:shd w:fill="EEF5FA"/>
          </w:tcPr>
          <w:p>
            <w:pPr>
              <w:jc w:val="left"/>
            </w:pPr>
            <w:r>
              <w:rPr>
                <w:rFonts w:ascii="Noto Sans CJK SC" w:hAnsi="Noto Sans CJK SC" w:eastAsia="Noto Sans CJK SC"/>
                <w:sz w:val="16"/>
              </w:rPr>
              <w:t>AGC、ADC、滤波器、限幅器和实现方式</w:t>
            </w:r>
          </w:p>
        </w:tc>
        <w:tc>
          <w:tcPr>
            <w:tcW w:type="dxa" w:w="2324"/>
            <w:tcMar>
              <w:top w:w="90" w:type="dxa"/>
              <w:start w:w="110" w:type="dxa"/>
              <w:bottom w:w="90" w:type="dxa"/>
              <w:end w:w="110" w:type="dxa"/>
            </w:tcMar>
            <w:vAlign w:val="center"/>
            <w:shd w:fill="EEF5FA"/>
          </w:tcPr>
          <w:p>
            <w:pPr>
              <w:jc w:val="left"/>
            </w:pPr>
            <w:r>
              <w:rPr>
                <w:rFonts w:ascii="Noto Sans CJK SC" w:hAnsi="Noto Sans CJK SC" w:eastAsia="Noto Sans CJK SC"/>
                <w:sz w:val="16"/>
              </w:rPr>
              <w:t>把示例值1 μs当作所有接收机固定值</w:t>
            </w:r>
          </w:p>
        </w:tc>
      </w:tr>
    </w:tbl>
    <w:p>
      <w:pPr>
        <w:spacing w:after="0"/>
      </w:pPr>
    </w:p>
    <w:p>
      <w:pPr>
        <w:pStyle w:val="Heading2"/>
        <w:keepNext/>
        <w:spacing w:before="220" w:after="100"/>
      </w:pPr>
      <w:r>
        <w:rPr>
          <w:rFonts w:ascii="Noto Serif CJK SC" w:hAnsi="Noto Serif CJK SC" w:eastAsia="Noto Serif CJK SC"/>
          <w:b/>
          <w:color w:val="1F4E78"/>
          <w:sz w:val="26"/>
        </w:rPr>
        <w:t>7. 为什么不能把所有脉冲占空比直接相加</w:t>
      </w:r>
    </w:p>
    <w:p>
      <w:pPr>
        <w:keepNext w:val="0"/>
        <w:spacing w:before="0" w:after="120" w:line="348" w:lineRule="auto"/>
        <w:ind w:firstLine="420"/>
      </w:pPr>
      <w:r>
        <w:rPr>
          <w:rFonts w:ascii="Noto Sans CJK SC" w:hAnsi="Noto Sans CJK SC" w:eastAsia="Noto Sans CJK SC"/>
        </w:rPr>
        <w:t>在复杂航空环境中，不同系统的脉冲会随机重叠。简单相加既会重复计算重叠的强脉冲时间，也会把本来已被强脉冲熄减掉的弱脉冲功率再次计入RI。M.2220-1在附件B给出强脉冲碰撞模型，通过净PDC方法处理DME/TACAN、CNI、ATC等异质脉冲的重叠。</w:t>
      </w:r>
    </w:p>
    <w:p>
      <w:pPr>
        <w:keepNext w:val="0"/>
        <w:spacing w:before="0" w:after="120" w:line="348" w:lineRule="auto"/>
        <w:ind w:firstLine="420"/>
      </w:pPr>
      <w:r>
        <w:rPr>
          <w:rFonts w:ascii="Noto Sans CJK SC" w:hAnsi="Noto Sans CJK SC" w:eastAsia="Noto Sans CJK SC"/>
        </w:rPr>
        <w:t>对工程人员而言，其关键不是重现附件B的每一个概率推导，而是保持两个原则：强脉冲按时间并集计算；弱脉冲只在未被强脉冲熄减的时间内贡献等效噪声。</w:t>
      </w:r>
    </w:p>
    <w:p>
      <w:pPr>
        <w:pStyle w:val="Heading2"/>
        <w:keepNext/>
        <w:spacing w:before="220" w:after="100"/>
      </w:pPr>
      <w:r>
        <w:rPr>
          <w:rFonts w:ascii="Noto Serif CJK SC" w:hAnsi="Noto Serif CJK SC" w:eastAsia="Noto Serif CJK SC"/>
          <w:b/>
          <w:color w:val="1F4E78"/>
          <w:sz w:val="26"/>
        </w:rPr>
        <w:t>8. 各类脉冲源怎样建模</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158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脉冲源</w:t>
            </w:r>
          </w:p>
        </w:tc>
        <w:tc>
          <w:tcPr>
            <w:tcW w:type="dxa" w:w="3969"/>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报告中的模型重点</w:t>
            </w:r>
          </w:p>
        </w:tc>
        <w:tc>
          <w:tcPr>
            <w:tcW w:type="dxa" w:w="345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为什么需要单独处理</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6"/>
              </w:rPr>
              <w:t>DME/TACAN</w:t>
            </w:r>
          </w:p>
        </w:tc>
        <w:tc>
          <w:tcPr>
            <w:tcW w:type="dxa" w:w="3969"/>
            <w:tcMar>
              <w:top w:w="90" w:type="dxa"/>
              <w:start w:w="110" w:type="dxa"/>
              <w:bottom w:w="90" w:type="dxa"/>
              <w:end w:w="110" w:type="dxa"/>
            </w:tcMar>
            <w:vAlign w:val="center"/>
          </w:tcPr>
          <w:p>
            <w:pPr>
              <w:jc w:val="left"/>
            </w:pPr>
            <w:r>
              <w:rPr>
                <w:rFonts w:ascii="Noto Sans CJK SC" w:hAnsi="Noto Sans CJK SC" w:eastAsia="Noto Sans CJK SC"/>
                <w:sz w:val="16"/>
              </w:rPr>
              <w:t>1 MHz信道、脉冲对、近似高斯脉冲；区分高于门限的脉宽和低于门限的高斯尾部</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数量多，是航空热点区域的主导聚合源</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6"/>
              </w:rPr>
              <w:t>CNI跳频系统</w:t>
            </w:r>
          </w:p>
        </w:tc>
        <w:tc>
          <w:tcPr>
            <w:tcW w:type="dxa" w:w="3969"/>
            <w:tcMar>
              <w:top w:w="90" w:type="dxa"/>
              <w:start w:w="110" w:type="dxa"/>
              <w:bottom w:w="90" w:type="dxa"/>
              <w:end w:w="110" w:type="dxa"/>
            </w:tcMar>
            <w:vAlign w:val="center"/>
            <w:shd w:fill="EEF5FA"/>
          </w:tcPr>
          <w:p>
            <w:pPr>
              <w:jc w:val="left"/>
            </w:pPr>
            <w:r>
              <w:rPr>
                <w:rFonts w:ascii="Noto Sans CJK SC" w:hAnsi="Noto Sans CJK SC" w:eastAsia="Noto Sans CJK SC"/>
                <w:sz w:val="16"/>
              </w:rPr>
              <w:t>51个载频、3 MHz间隔、TDMA与频率跳变；使用时间/空间密度因子</w:t>
            </w:r>
          </w:p>
        </w:tc>
        <w:tc>
          <w:tcPr>
            <w:tcW w:type="dxa" w:w="3458"/>
            <w:tcMar>
              <w:top w:w="90" w:type="dxa"/>
              <w:start w:w="110" w:type="dxa"/>
              <w:bottom w:w="90" w:type="dxa"/>
              <w:end w:w="110" w:type="dxa"/>
            </w:tcMar>
            <w:vAlign w:val="center"/>
            <w:shd w:fill="EEF5FA"/>
          </w:tcPr>
          <w:p>
            <w:pPr>
              <w:jc w:val="left"/>
            </w:pPr>
            <w:r>
              <w:rPr>
                <w:rFonts w:ascii="Noto Sans CJK SC" w:hAnsi="Noto Sans CJK SC" w:eastAsia="Noto Sans CJK SC"/>
                <w:sz w:val="16"/>
              </w:rPr>
              <w:t>单个终端出现概率和同时活动数决定聚合结果</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6"/>
              </w:rPr>
              <w:t>ATC/Mode S/TCAS</w:t>
            </w:r>
          </w:p>
        </w:tc>
        <w:tc>
          <w:tcPr>
            <w:tcW w:type="dxa" w:w="3969"/>
            <w:tcMar>
              <w:top w:w="90" w:type="dxa"/>
              <w:start w:w="110" w:type="dxa"/>
              <w:bottom w:w="90" w:type="dxa"/>
              <w:end w:w="110" w:type="dxa"/>
            </w:tcMar>
            <w:vAlign w:val="center"/>
          </w:tcPr>
          <w:p>
            <w:pPr>
              <w:jc w:val="left"/>
            </w:pPr>
            <w:r>
              <w:rPr>
                <w:rFonts w:ascii="Noto Sans CJK SC" w:hAnsi="Noto Sans CJK SC" w:eastAsia="Noto Sans CJK SC"/>
                <w:sz w:val="16"/>
              </w:rPr>
              <w:t>地面与机载问答机、背景区域分布、前景强源和本机发射</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波形和业务状态复杂，脉冲序列不等价</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6"/>
              </w:rPr>
              <w:t>地面监视雷达</w:t>
            </w:r>
          </w:p>
        </w:tc>
        <w:tc>
          <w:tcPr>
            <w:tcW w:type="dxa" w:w="3969"/>
            <w:tcMar>
              <w:top w:w="90" w:type="dxa"/>
              <w:start w:w="110" w:type="dxa"/>
              <w:bottom w:w="90" w:type="dxa"/>
              <w:end w:w="110" w:type="dxa"/>
            </w:tcMar>
            <w:vAlign w:val="center"/>
            <w:shd w:fill="EEF5FA"/>
          </w:tcPr>
          <w:p>
            <w:pPr>
              <w:jc w:val="left"/>
            </w:pPr>
            <w:r>
              <w:rPr>
                <w:rFonts w:ascii="Noto Sans CJK SC" w:hAnsi="Noto Sans CJK SC" w:eastAsia="Noto Sans CJK SC"/>
                <w:sz w:val="16"/>
              </w:rPr>
              <w:t>主瓣/旁瓣EIRP、脉宽、PRF、距离和接收机饱和门限</w:t>
            </w:r>
          </w:p>
        </w:tc>
        <w:tc>
          <w:tcPr>
            <w:tcW w:type="dxa" w:w="3458"/>
            <w:tcMar>
              <w:top w:w="90" w:type="dxa"/>
              <w:start w:w="110" w:type="dxa"/>
              <w:bottom w:w="90" w:type="dxa"/>
              <w:end w:w="110" w:type="dxa"/>
            </w:tcMar>
            <w:vAlign w:val="center"/>
            <w:shd w:fill="EEF5FA"/>
          </w:tcPr>
          <w:p>
            <w:pPr>
              <w:jc w:val="left"/>
            </w:pPr>
            <w:r>
              <w:rPr>
                <w:rFonts w:ascii="Noto Sans CJK SC" w:hAnsi="Noto Sans CJK SC" w:eastAsia="Noto Sans CJK SC"/>
                <w:sz w:val="16"/>
              </w:rPr>
              <w:t>1215–1300 MHz地面接收机的主要强脉冲源</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6"/>
              </w:rPr>
              <w:t>星载SAR</w:t>
            </w:r>
          </w:p>
        </w:tc>
        <w:tc>
          <w:tcPr>
            <w:tcW w:type="dxa" w:w="3969"/>
            <w:tcMar>
              <w:top w:w="90" w:type="dxa"/>
              <w:start w:w="110" w:type="dxa"/>
              <w:bottom w:w="90" w:type="dxa"/>
              <w:end w:w="110" w:type="dxa"/>
            </w:tcMar>
            <w:vAlign w:val="center"/>
          </w:tcPr>
          <w:p>
            <w:pPr>
              <w:jc w:val="left"/>
            </w:pPr>
            <w:r>
              <w:rPr>
                <w:rFonts w:ascii="Noto Sans CJK SC" w:hAnsi="Noto Sans CJK SC" w:eastAsia="Noto Sans CJK SC"/>
                <w:sz w:val="16"/>
              </w:rPr>
              <w:t>轨道、主瓣EIRP、线性调频带宽、脉宽、PRF及频谱重叠修正</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宽带chirp不一定全部落入接收机通带</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6"/>
              </w:rPr>
              <w:t>连续背景</w:t>
            </w:r>
          </w:p>
        </w:tc>
        <w:tc>
          <w:tcPr>
            <w:tcW w:type="dxa" w:w="3969"/>
            <w:tcMar>
              <w:top w:w="90" w:type="dxa"/>
              <w:start w:w="110" w:type="dxa"/>
              <w:bottom w:w="90" w:type="dxa"/>
              <w:end w:w="110" w:type="dxa"/>
            </w:tcMar>
            <w:vAlign w:val="center"/>
            <w:shd w:fill="EEF5FA"/>
          </w:tcPr>
          <w:p>
            <w:pPr>
              <w:jc w:val="left"/>
            </w:pPr>
            <w:r>
              <w:rPr>
                <w:rFonts w:ascii="Noto Sans CJK SC" w:hAnsi="Noto Sans CJK SC" w:eastAsia="Noto Sans CJK SC"/>
                <w:sz w:val="16"/>
              </w:rPr>
              <w:t>RNSS互系统/系统内信号及其他连续发射形成I0,WB/N0</w:t>
            </w:r>
          </w:p>
        </w:tc>
        <w:tc>
          <w:tcPr>
            <w:tcW w:type="dxa" w:w="3458"/>
            <w:tcMar>
              <w:top w:w="90" w:type="dxa"/>
              <w:start w:w="110" w:type="dxa"/>
              <w:bottom w:w="90" w:type="dxa"/>
              <w:end w:w="110" w:type="dxa"/>
            </w:tcMar>
            <w:vAlign w:val="center"/>
            <w:shd w:fill="EEF5FA"/>
          </w:tcPr>
          <w:p>
            <w:pPr>
              <w:jc w:val="left"/>
            </w:pPr>
            <w:r>
              <w:rPr>
                <w:rFonts w:ascii="Noto Sans CJK SC" w:hAnsi="Noto Sans CJK SC" w:eastAsia="Noto Sans CJK SC"/>
                <w:sz w:val="16"/>
              </w:rPr>
              <w:t>会减少新脉冲源可用的剩余干扰预算</w:t>
            </w:r>
          </w:p>
        </w:tc>
      </w:tr>
    </w:tbl>
    <w:p>
      <w:pPr>
        <w:spacing w:after="0"/>
      </w:pPr>
    </w:p>
    <w:p>
      <w:pPr>
        <w:pStyle w:val="Heading2"/>
        <w:keepNext/>
        <w:spacing w:before="220" w:after="100"/>
      </w:pPr>
      <w:r>
        <w:rPr>
          <w:rFonts w:ascii="Noto Serif CJK SC" w:hAnsi="Noto Serif CJK SC" w:eastAsia="Noto Serif CJK SC"/>
          <w:b/>
          <w:color w:val="1F4E78"/>
          <w:sz w:val="26"/>
        </w:rPr>
        <w:t>9. 频谱重叠与扫描修正</w:t>
      </w:r>
    </w:p>
    <w:p>
      <w:pPr>
        <w:pStyle w:val="Heading3"/>
        <w:keepNext/>
        <w:spacing w:before="160" w:after="80"/>
      </w:pPr>
      <w:r>
        <w:rPr>
          <w:rFonts w:ascii="Noto Serif CJK SC" w:hAnsi="Noto Serif CJK SC" w:eastAsia="Noto Serif CJK SC"/>
          <w:b/>
          <w:color w:val="1F4E78"/>
          <w:sz w:val="23"/>
        </w:rPr>
        <w:t>9.1 线性调频脉冲的有效脉宽</w:t>
      </w: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PW_eff = PW × (BW_overlap / BW_chirp)</w:t>
            </w:r>
          </w:p>
          <w:p>
            <w:pPr>
              <w:jc w:val="center"/>
            </w:pPr>
            <w:r>
              <w:rPr>
                <w:rFonts w:ascii="Noto Sans CJK SC" w:hAnsi="Noto Sans CJK SC" w:eastAsia="Noto Sans CJK SC"/>
                <w:color w:val="666666"/>
                <w:sz w:val="18"/>
              </w:rPr>
              <w:t>当SAR调频带宽只有一部分落入RNSS预相关通带时，仅按重叠比例计入有效脉宽。</w:t>
            </w:r>
          </w:p>
        </w:tc>
      </w:tr>
    </w:tbl>
    <w:p>
      <w:pPr>
        <w:spacing w:after="0"/>
      </w:pPr>
    </w:p>
    <w:p>
      <w:pPr>
        <w:keepNext w:val="0"/>
        <w:spacing w:before="0" w:after="120" w:line="348" w:lineRule="auto"/>
        <w:ind w:firstLine="420"/>
      </w:pPr>
      <w:r>
        <w:rPr>
          <w:rFonts w:ascii="Noto Sans CJK SC" w:hAnsi="Noto Sans CJK SC" w:eastAsia="Noto Sans CJK SC"/>
        </w:rPr>
        <w:t>这一步把“中心频率是否相同”升级为实际频谱耦合分析。详细评估应使用实测发射谱和真实接收滤波器，而不是只用矩形带宽。</w:t>
      </w:r>
    </w:p>
    <w:p>
      <w:pPr>
        <w:pStyle w:val="Heading3"/>
        <w:keepNext/>
        <w:spacing w:before="160" w:after="80"/>
      </w:pPr>
      <w:r>
        <w:rPr>
          <w:rFonts w:ascii="Noto Serif CJK SC" w:hAnsi="Noto Serif CJK SC" w:eastAsia="Noto Serif CJK SC"/>
          <w:b/>
          <w:color w:val="1F4E78"/>
          <w:sz w:val="23"/>
        </w:rPr>
        <w:t>9.2 快速扫描波束的有效PRF</w:t>
      </w: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PRF_eff = PRF × (τ_obs / T_c)</w:t>
            </w:r>
          </w:p>
          <w:p>
            <w:pPr>
              <w:jc w:val="center"/>
            </w:pPr>
            <w:r>
              <w:rPr>
                <w:rFonts w:ascii="Noto Sans CJK SC" w:hAnsi="Noto Sans CJK SC" w:eastAsia="Noto Sans CJK SC"/>
                <w:color w:val="666666"/>
                <w:sz w:val="18"/>
              </w:rPr>
              <w:t>某些极窄跟踪环路的半无代码接收机可用扫描照射时间比例修正；报告明确警告不能普遍套用。</w:t>
            </w:r>
          </w:p>
        </w:tc>
      </w:tr>
    </w:tbl>
    <w:p>
      <w:pPr>
        <w:spacing w:after="0"/>
      </w:pPr>
    </w:p>
    <w:tbl>
      <w:tblPr>
        <w:tblW w:type="auto" w:w="0"/>
        <w:jc w:val="center"/>
        <w:tblLook w:firstColumn="1" w:firstRow="1" w:lastColumn="0" w:lastRow="0" w:noHBand="0" w:noVBand="1" w:val="04A0"/>
      </w:tblPr>
      <w:tblGrid>
        <w:gridCol w:w="9468"/>
      </w:tblGrid>
      <w:tr>
        <w:tc>
          <w:tcPr>
            <w:tcW w:type="dxa" w:w="9468"/>
            <w:shd w:fill="FCE4D6"/>
            <w:tcMar>
              <w:top w:w="130" w:type="dxa"/>
              <w:start w:w="170" w:type="dxa"/>
              <w:bottom w:w="130" w:type="dxa"/>
              <w:end w:w="170" w:type="dxa"/>
            </w:tcMar>
          </w:tcPr>
          <w:p>
            <w:r>
              <w:rPr>
                <w:rFonts w:ascii="Noto Sans CJK SC" w:hAnsi="Noto Sans CJK SC" w:eastAsia="Noto Sans CJK SC"/>
                <w:b/>
                <w:color w:val="1F4E78"/>
              </w:rPr>
              <w:t>重要限制</w:t>
            </w:r>
          </w:p>
          <w:p>
            <w:pPr>
              <w:spacing w:before="0" w:after="0" w:line="331" w:lineRule="auto"/>
            </w:pPr>
            <w:r>
              <w:rPr>
                <w:rFonts w:ascii="Noto Sans CJK SC" w:hAnsi="Noto Sans CJK SC" w:eastAsia="Noto Sans CJK SC"/>
              </w:rPr>
              <w:t>扫描折减只在接收机跟踪环路极窄、其输出近似长期平均时成立。对于响应较快的现代接收机，瞬时C/N0下降不能被长期平均掩盖，需通过M.2496或实机试验确定。</w:t>
            </w:r>
          </w:p>
        </w:tc>
      </w:tr>
    </w:tbl>
    <w:p>
      <w:pPr>
        <w:spacing w:after="0"/>
      </w:pP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M.2220-1，§4.1.3–4.1.4，PDF第33–34页。</w:t>
      </w:r>
    </w:p>
    <w:p>
      <w:pPr>
        <w:pStyle w:val="Heading2"/>
        <w:keepNext/>
        <w:spacing w:before="220" w:after="100"/>
      </w:pPr>
      <w:r>
        <w:rPr>
          <w:rFonts w:ascii="Noto Serif CJK SC" w:hAnsi="Noto Serif CJK SC" w:eastAsia="Noto Serif CJK SC"/>
          <w:b/>
          <w:color w:val="1F4E78"/>
          <w:sz w:val="26"/>
        </w:rPr>
        <w:t>10. GREET工具做了什么</w:t>
      </w:r>
    </w:p>
    <w:p>
      <w:pPr>
        <w:keepNext w:val="0"/>
        <w:spacing w:before="0" w:after="120" w:line="348" w:lineRule="auto"/>
        <w:ind w:firstLine="420"/>
      </w:pPr>
      <w:r>
        <w:rPr>
          <w:rFonts w:ascii="Noto Sans CJK SC" w:hAnsi="Noto Sans CJK SC" w:eastAsia="Noto Sans CJK SC"/>
        </w:rPr>
        <w:t>附件A介绍GPS RFI Environmental Evaluation Tool（GREET）。它把固定DME/TACAN台站数据库、RNSS接收机位置和高度、传播损耗、接收天线增益以及门限模型结合起来，逐站计算接收峰值功率。随后确定每个台站高于熄减门限的脉宽、净PDC和低于门限的RI，并可在经纬度网格上生成热点环境。</w:t>
      </w:r>
    </w:p>
    <w:p>
      <w:pPr>
        <w:pStyle w:val="ListNumber"/>
        <w:spacing w:before="0" w:after="60" w:line="317" w:lineRule="auto"/>
        <w:ind w:left="425" w:hanging="255"/>
      </w:pPr>
      <w:r>
        <w:rPr>
          <w:rFonts w:ascii="Noto Sans CJK SC" w:hAnsi="Noto Sans CJK SC" w:eastAsia="Noto Sans CJK SC"/>
        </w:rPr>
        <w:t>导入固定发射机位置、频率、功率、天线和波形参数。</w:t>
      </w:r>
    </w:p>
    <w:p>
      <w:pPr>
        <w:pStyle w:val="ListNumber"/>
        <w:spacing w:before="0" w:after="60" w:line="317" w:lineRule="auto"/>
        <w:ind w:left="425" w:hanging="255"/>
      </w:pPr>
      <w:r>
        <w:rPr>
          <w:rFonts w:ascii="Noto Sans CJK SC" w:hAnsi="Noto Sans CJK SC" w:eastAsia="Noto Sans CJK SC"/>
        </w:rPr>
        <w:t>对每个接收机网格点计算距离、到达角、传播损耗和滤波衰减。</w:t>
      </w:r>
    </w:p>
    <w:p>
      <w:pPr>
        <w:pStyle w:val="ListNumber"/>
        <w:spacing w:before="0" w:after="60" w:line="317" w:lineRule="auto"/>
        <w:ind w:left="425" w:hanging="255"/>
      </w:pPr>
      <w:r>
        <w:rPr>
          <w:rFonts w:ascii="Noto Sans CJK SC" w:hAnsi="Noto Sans CJK SC" w:eastAsia="Noto Sans CJK SC"/>
        </w:rPr>
        <w:t>求每个脉冲在接收机输入端的峰值，以及高于门限的有效宽度。</w:t>
      </w:r>
    </w:p>
    <w:p>
      <w:pPr>
        <w:pStyle w:val="ListNumber"/>
        <w:spacing w:before="0" w:after="60" w:line="317" w:lineRule="auto"/>
        <w:ind w:left="425" w:hanging="255"/>
      </w:pPr>
      <w:r>
        <w:rPr>
          <w:rFonts w:ascii="Noto Sans CJK SC" w:hAnsi="Noto Sans CJK SC" w:eastAsia="Noto Sans CJK SC"/>
        </w:rPr>
        <w:t>按碰撞模型求净PDC，并对未熄减的脉冲尾部求RI。</w:t>
      </w:r>
    </w:p>
    <w:p>
      <w:pPr>
        <w:pStyle w:val="ListNumber"/>
        <w:spacing w:before="0" w:after="60" w:line="317" w:lineRule="auto"/>
        <w:ind w:left="425" w:hanging="255"/>
      </w:pPr>
      <w:r>
        <w:rPr>
          <w:rFonts w:ascii="Noto Sans CJK SC" w:hAnsi="Noto Sans CJK SC" w:eastAsia="Noto Sans CJK SC"/>
        </w:rPr>
        <w:t>输出区域热点、最坏网格点及可送入M.2030的聚合参数。</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M.2220-1，附件A，PDF第38–42页。</w:t>
      </w:r>
    </w:p>
    <w:p>
      <w:pPr>
        <w:pStyle w:val="Heading2"/>
        <w:keepNext/>
        <w:spacing w:before="220" w:after="100"/>
      </w:pPr>
      <w:r>
        <w:rPr>
          <w:rFonts w:ascii="Noto Serif CJK SC" w:hAnsi="Noto Serif CJK SC" w:eastAsia="Noto Serif CJK SC"/>
          <w:b/>
          <w:color w:val="1F4E78"/>
          <w:sz w:val="26"/>
        </w:rPr>
        <w:t>11. 航空接收机仿真结果怎样理解</w:t>
      </w: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226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代表场景</w:t>
            </w:r>
          </w:p>
        </w:tc>
        <w:tc>
          <w:tcPr>
            <w:tcW w:type="dxa" w:w="153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聚合PDC</w:t>
            </w:r>
          </w:p>
        </w:tc>
        <w:tc>
          <w:tcPr>
            <w:tcW w:type="dxa" w:w="153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聚合RI</w:t>
            </w:r>
          </w:p>
        </w:tc>
        <w:tc>
          <w:tcPr>
            <w:tcW w:type="dxa" w:w="368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主要含义</w:t>
            </w:r>
          </w:p>
        </w:tc>
      </w:tr>
      <w:tr>
        <w:trPr>
          <w:cantSplit/>
        </w:trPr>
        <w:tc>
          <w:tcPr>
            <w:tcW w:type="dxa" w:w="2268"/>
            <w:tcMar>
              <w:top w:w="90" w:type="dxa"/>
              <w:start w:w="110" w:type="dxa"/>
              <w:bottom w:w="90" w:type="dxa"/>
              <w:end w:w="110" w:type="dxa"/>
            </w:tcMar>
            <w:vAlign w:val="center"/>
          </w:tcPr>
          <w:p>
            <w:pPr>
              <w:jc w:val="center"/>
            </w:pPr>
            <w:r>
              <w:rPr>
                <w:rFonts w:ascii="Noto Sans CJK SC" w:hAnsi="Noto Sans CJK SC" w:eastAsia="Noto Sans CJK SC"/>
                <w:sz w:val="17"/>
              </w:rPr>
              <w:t>美国高空热点</w:t>
            </w:r>
          </w:p>
        </w:tc>
        <w:tc>
          <w:tcPr>
            <w:tcW w:type="dxa" w:w="1531"/>
            <w:tcMar>
              <w:top w:w="90" w:type="dxa"/>
              <w:start w:w="110" w:type="dxa"/>
              <w:bottom w:w="90" w:type="dxa"/>
              <w:end w:w="110" w:type="dxa"/>
            </w:tcMar>
            <w:vAlign w:val="center"/>
          </w:tcPr>
          <w:p>
            <w:pPr>
              <w:jc w:val="left"/>
            </w:pPr>
            <w:r>
              <w:rPr>
                <w:rFonts w:ascii="Noto Sans CJK SC" w:hAnsi="Noto Sans CJK SC" w:eastAsia="Noto Sans CJK SC"/>
                <w:sz w:val="17"/>
              </w:rPr>
              <w:t>0.6527</w:t>
            </w:r>
          </w:p>
        </w:tc>
        <w:tc>
          <w:tcPr>
            <w:tcW w:type="dxa" w:w="1531"/>
            <w:tcMar>
              <w:top w:w="90" w:type="dxa"/>
              <w:start w:w="110" w:type="dxa"/>
              <w:bottom w:w="90" w:type="dxa"/>
              <w:end w:w="110" w:type="dxa"/>
            </w:tcMar>
            <w:vAlign w:val="center"/>
          </w:tcPr>
          <w:p>
            <w:pPr>
              <w:jc w:val="left"/>
            </w:pPr>
            <w:r>
              <w:rPr>
                <w:rFonts w:ascii="Noto Sans CJK SC" w:hAnsi="Noto Sans CJK SC" w:eastAsia="Noto Sans CJK SC"/>
                <w:sz w:val="17"/>
              </w:rPr>
              <w:t>0.9628</w:t>
            </w:r>
          </w:p>
        </w:tc>
        <w:tc>
          <w:tcPr>
            <w:tcW w:type="dxa" w:w="3685"/>
            <w:tcMar>
              <w:top w:w="90" w:type="dxa"/>
              <w:start w:w="110" w:type="dxa"/>
              <w:bottom w:w="90" w:type="dxa"/>
              <w:end w:w="110" w:type="dxa"/>
            </w:tcMar>
            <w:vAlign w:val="center"/>
          </w:tcPr>
          <w:p>
            <w:pPr>
              <w:jc w:val="left"/>
            </w:pPr>
            <w:r>
              <w:rPr>
                <w:rFonts w:ascii="Noto Sans CJK SC" w:hAnsi="Noto Sans CJK SC" w:eastAsia="Noto Sans CJK SC"/>
                <w:sz w:val="17"/>
              </w:rPr>
              <w:t>DME/TACAN占主导，CNI和ATC继续增加时间损失及噪声</w:t>
            </w:r>
          </w:p>
        </w:tc>
      </w:tr>
      <w:tr>
        <w:trPr>
          <w:cantSplit/>
        </w:trPr>
        <w:tc>
          <w:tcPr>
            <w:tcW w:type="dxa" w:w="2268"/>
            <w:tcMar>
              <w:top w:w="90" w:type="dxa"/>
              <w:start w:w="110" w:type="dxa"/>
              <w:bottom w:w="90" w:type="dxa"/>
              <w:end w:w="110" w:type="dxa"/>
            </w:tcMar>
            <w:vAlign w:val="center"/>
            <w:shd w:fill="EEF5FA"/>
          </w:tcPr>
          <w:p>
            <w:pPr>
              <w:jc w:val="center"/>
            </w:pPr>
            <w:r>
              <w:rPr>
                <w:rFonts w:ascii="Noto Sans CJK SC" w:hAnsi="Noto Sans CJK SC" w:eastAsia="Noto Sans CJK SC"/>
                <w:sz w:val="17"/>
              </w:rPr>
              <w:t>欧洲高空热点</w:t>
            </w:r>
          </w:p>
        </w:tc>
        <w:tc>
          <w:tcPr>
            <w:tcW w:type="dxa" w:w="1531"/>
            <w:tcMar>
              <w:top w:w="90" w:type="dxa"/>
              <w:start w:w="110" w:type="dxa"/>
              <w:bottom w:w="90" w:type="dxa"/>
              <w:end w:w="110" w:type="dxa"/>
            </w:tcMar>
            <w:vAlign w:val="center"/>
            <w:shd w:fill="EEF5FA"/>
          </w:tcPr>
          <w:p>
            <w:pPr>
              <w:jc w:val="left"/>
            </w:pPr>
            <w:r>
              <w:rPr>
                <w:rFonts w:ascii="Noto Sans CJK SC" w:hAnsi="Noto Sans CJK SC" w:eastAsia="Noto Sans CJK SC"/>
                <w:sz w:val="17"/>
              </w:rPr>
              <w:t>0.6031</w:t>
            </w:r>
          </w:p>
        </w:tc>
        <w:tc>
          <w:tcPr>
            <w:tcW w:type="dxa" w:w="1531"/>
            <w:tcMar>
              <w:top w:w="90" w:type="dxa"/>
              <w:start w:w="110" w:type="dxa"/>
              <w:bottom w:w="90" w:type="dxa"/>
              <w:end w:w="110" w:type="dxa"/>
            </w:tcMar>
            <w:vAlign w:val="center"/>
            <w:shd w:fill="EEF5FA"/>
          </w:tcPr>
          <w:p>
            <w:pPr>
              <w:jc w:val="left"/>
            </w:pPr>
            <w:r>
              <w:rPr>
                <w:rFonts w:ascii="Noto Sans CJK SC" w:hAnsi="Noto Sans CJK SC" w:eastAsia="Noto Sans CJK SC"/>
                <w:sz w:val="17"/>
              </w:rPr>
              <w:t>1.5218</w:t>
            </w:r>
          </w:p>
        </w:tc>
        <w:tc>
          <w:tcPr>
            <w:tcW w:type="dxa" w:w="3685"/>
            <w:tcMar>
              <w:top w:w="90" w:type="dxa"/>
              <w:start w:w="110" w:type="dxa"/>
              <w:bottom w:w="90" w:type="dxa"/>
              <w:end w:w="110" w:type="dxa"/>
            </w:tcMar>
            <w:vAlign w:val="center"/>
            <w:shd w:fill="EEF5FA"/>
          </w:tcPr>
          <w:p>
            <w:pPr>
              <w:jc w:val="left"/>
            </w:pPr>
            <w:r>
              <w:rPr>
                <w:rFonts w:ascii="Noto Sans CJK SC" w:hAnsi="Noto Sans CJK SC" w:eastAsia="Noto Sans CJK SC"/>
                <w:sz w:val="17"/>
              </w:rPr>
              <w:t>强脉冲时间比例略低，但未熄减脉冲等效噪声更大</w:t>
            </w:r>
          </w:p>
        </w:tc>
      </w:tr>
      <w:tr>
        <w:trPr>
          <w:cantSplit/>
        </w:trPr>
        <w:tc>
          <w:tcPr>
            <w:tcW w:type="dxa" w:w="2268"/>
            <w:tcMar>
              <w:top w:w="90" w:type="dxa"/>
              <w:start w:w="110" w:type="dxa"/>
              <w:bottom w:w="90" w:type="dxa"/>
              <w:end w:w="110" w:type="dxa"/>
            </w:tcMar>
            <w:vAlign w:val="center"/>
          </w:tcPr>
          <w:p>
            <w:pPr>
              <w:jc w:val="center"/>
            </w:pPr>
            <w:r>
              <w:rPr>
                <w:rFonts w:ascii="Noto Sans CJK SC" w:hAnsi="Noto Sans CJK SC" w:eastAsia="Noto Sans CJK SC"/>
                <w:sz w:val="17"/>
              </w:rPr>
              <w:t>华盛顿DCA低空进近</w:t>
            </w:r>
          </w:p>
        </w:tc>
        <w:tc>
          <w:tcPr>
            <w:tcW w:type="dxa" w:w="1531"/>
            <w:tcMar>
              <w:top w:w="90" w:type="dxa"/>
              <w:start w:w="110" w:type="dxa"/>
              <w:bottom w:w="90" w:type="dxa"/>
              <w:end w:w="110" w:type="dxa"/>
            </w:tcMar>
            <w:vAlign w:val="center"/>
          </w:tcPr>
          <w:p>
            <w:pPr>
              <w:jc w:val="left"/>
            </w:pPr>
            <w:r>
              <w:rPr>
                <w:rFonts w:ascii="Noto Sans CJK SC" w:hAnsi="Noto Sans CJK SC" w:eastAsia="Noto Sans CJK SC"/>
                <w:sz w:val="17"/>
              </w:rPr>
              <w:t>0.3123</w:t>
            </w:r>
          </w:p>
        </w:tc>
        <w:tc>
          <w:tcPr>
            <w:tcW w:type="dxa" w:w="1531"/>
            <w:tcMar>
              <w:top w:w="90" w:type="dxa"/>
              <w:start w:w="110" w:type="dxa"/>
              <w:bottom w:w="90" w:type="dxa"/>
              <w:end w:w="110" w:type="dxa"/>
            </w:tcMar>
            <w:vAlign w:val="center"/>
          </w:tcPr>
          <w:p>
            <w:pPr>
              <w:jc w:val="left"/>
            </w:pPr>
            <w:r>
              <w:rPr>
                <w:rFonts w:ascii="Noto Sans CJK SC" w:hAnsi="Noto Sans CJK SC" w:eastAsia="Noto Sans CJK SC"/>
                <w:sz w:val="17"/>
              </w:rPr>
              <w:t>0.4524</w:t>
            </w:r>
          </w:p>
        </w:tc>
        <w:tc>
          <w:tcPr>
            <w:tcW w:type="dxa" w:w="3685"/>
            <w:tcMar>
              <w:top w:w="90" w:type="dxa"/>
              <w:start w:w="110" w:type="dxa"/>
              <w:bottom w:w="90" w:type="dxa"/>
              <w:end w:w="110" w:type="dxa"/>
            </w:tcMar>
            <w:vAlign w:val="center"/>
          </w:tcPr>
          <w:p>
            <w:pPr>
              <w:jc w:val="left"/>
            </w:pPr>
            <w:r>
              <w:rPr>
                <w:rFonts w:ascii="Noto Sans CJK SC" w:hAnsi="Noto Sans CJK SC" w:eastAsia="Noto Sans CJK SC"/>
                <w:sz w:val="17"/>
              </w:rPr>
              <w:t>低空可见地面源减少，聚合环境仍不可忽略</w:t>
            </w:r>
          </w:p>
        </w:tc>
      </w:tr>
    </w:tbl>
    <w:p>
      <w:pPr>
        <w:spacing w:after="0"/>
      </w:pPr>
    </w:p>
    <w:p>
      <w:pPr>
        <w:jc w:val="center"/>
      </w:pPr>
      <w:r>
        <w:drawing>
          <wp:inline xmlns:a="http://schemas.openxmlformats.org/drawingml/2006/main" xmlns:pic="http://schemas.openxmlformats.org/drawingml/2006/picture">
            <wp:extent cx="5688000" cy="3121464"/>
            <wp:docPr id="1" name="Picture 1"/>
            <wp:cNvGraphicFramePr>
              <a:graphicFrameLocks noChangeAspect="1"/>
            </wp:cNvGraphicFramePr>
            <a:graphic>
              <a:graphicData uri="http://schemas.openxmlformats.org/drawingml/2006/picture">
                <pic:pic>
                  <pic:nvPicPr>
                    <pic:cNvPr id="0" name="m2220_airborne_parameters.png"/>
                    <pic:cNvPicPr/>
                  </pic:nvPicPr>
                  <pic:blipFill>
                    <a:blip r:embed="rId11"/>
                    <a:stretch>
                      <a:fillRect/>
                    </a:stretch>
                  </pic:blipFill>
                  <pic:spPr>
                    <a:xfrm>
                      <a:off x="0" y="0"/>
                      <a:ext cx="5688000" cy="3121464"/>
                    </a:xfrm>
                    <a:prstGeom prst="rect"/>
                  </pic:spPr>
                </pic:pic>
              </a:graphicData>
            </a:graphic>
          </wp:inline>
        </w:drawing>
      </w:r>
    </w:p>
    <w:p>
      <w:pPr>
        <w:spacing w:before="0" w:after="140" w:line="264" w:lineRule="auto"/>
        <w:jc w:val="center"/>
      </w:pPr>
      <w:r>
        <w:rPr>
          <w:rFonts w:ascii="Noto Sans CJK SC" w:hAnsi="Noto Sans CJK SC" w:eastAsia="Noto Sans CJK SC"/>
          <w:i/>
          <w:color w:val="666666"/>
          <w:sz w:val="18"/>
        </w:rPr>
        <w:t>图1  M.2220-1代表性航空场景的聚合PDC和RI（根据报告结果重绘；两者均为无量纲模型参数）</w:t>
      </w:r>
    </w:p>
    <w:p>
      <w:pPr>
        <w:keepNext w:val="0"/>
        <w:spacing w:before="0" w:after="120" w:line="348" w:lineRule="auto"/>
        <w:ind w:firstLine="420"/>
      </w:pPr>
      <w:r>
        <w:rPr>
          <w:rFonts w:ascii="Noto Sans CJK SC" w:hAnsi="Noto Sans CJK SC" w:eastAsia="Noto Sans CJK SC"/>
        </w:rPr>
        <w:t>PDC和RI不能直接横向比较大小，也不能直接解释成“检测概率下降百分比”。它们是不同机理的中间参数，必须和接收机NLIM、连续干扰基线及M.2030公式共同使用。</w:t>
      </w:r>
    </w:p>
    <w:p>
      <w:pPr>
        <w:pStyle w:val="Heading2"/>
        <w:keepNext/>
        <w:spacing w:before="220" w:after="100"/>
      </w:pPr>
      <w:r>
        <w:rPr>
          <w:rFonts w:ascii="Noto Serif CJK SC" w:hAnsi="Noto Serif CJK SC" w:eastAsia="Noto Serif CJK SC"/>
          <w:b/>
          <w:color w:val="1F4E78"/>
          <w:sz w:val="26"/>
        </w:rPr>
        <w:t>12. 地面接收机算例</w:t>
      </w:r>
    </w:p>
    <w:p>
      <w:pPr>
        <w:pStyle w:val="Heading3"/>
        <w:keepNext/>
        <w:spacing w:before="160" w:after="80"/>
      </w:pPr>
      <w:r>
        <w:rPr>
          <w:rFonts w:ascii="Noto Serif CJK SC" w:hAnsi="Noto Serif CJK SC" w:eastAsia="Noto Serif CJK SC"/>
          <w:b/>
          <w:color w:val="1F4E78"/>
          <w:sz w:val="23"/>
        </w:rPr>
        <w:t>12.1 SBAS地面参考接收机与两部监视雷达</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83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项目</w:t>
            </w:r>
          </w:p>
        </w:tc>
        <w:tc>
          <w:tcPr>
            <w:tcW w:type="dxa" w:w="300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雷达A</w:t>
            </w:r>
          </w:p>
        </w:tc>
        <w:tc>
          <w:tcPr>
            <w:tcW w:type="dxa" w:w="300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雷达B</w:t>
            </w:r>
          </w:p>
        </w:tc>
      </w:tr>
      <w:tr>
        <w:trPr>
          <w:cantSplit/>
        </w:trPr>
        <w:tc>
          <w:tcPr>
            <w:tcW w:type="dxa" w:w="2835"/>
            <w:tcMar>
              <w:top w:w="90" w:type="dxa"/>
              <w:start w:w="110" w:type="dxa"/>
              <w:bottom w:w="90" w:type="dxa"/>
              <w:end w:w="110" w:type="dxa"/>
            </w:tcMar>
            <w:vAlign w:val="center"/>
          </w:tcPr>
          <w:p>
            <w:pPr>
              <w:jc w:val="center"/>
            </w:pPr>
            <w:r>
              <w:rPr>
                <w:rFonts w:ascii="Noto Sans CJK SC" w:hAnsi="Noto Sans CJK SC" w:eastAsia="Noto Sans CJK SC"/>
                <w:sz w:val="17"/>
              </w:rPr>
              <w:t>主瓣EIRP</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101 dBW</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85.6 dBW</w:t>
            </w:r>
          </w:p>
        </w:tc>
      </w:tr>
      <w:tr>
        <w:trPr>
          <w:cantSplit/>
        </w:trPr>
        <w:tc>
          <w:tcPr>
            <w:tcW w:type="dxa" w:w="2835"/>
            <w:tcMar>
              <w:top w:w="90" w:type="dxa"/>
              <w:start w:w="110" w:type="dxa"/>
              <w:bottom w:w="90" w:type="dxa"/>
              <w:end w:w="110" w:type="dxa"/>
            </w:tcMar>
            <w:vAlign w:val="center"/>
            <w:shd w:fill="EEF5FA"/>
          </w:tcPr>
          <w:p>
            <w:pPr>
              <w:jc w:val="center"/>
            </w:pPr>
            <w:r>
              <w:rPr>
                <w:rFonts w:ascii="Noto Sans CJK SC" w:hAnsi="Noto Sans CJK SC" w:eastAsia="Noto Sans CJK SC"/>
                <w:sz w:val="17"/>
              </w:rPr>
              <w:t>旁瓣EIRP</w:t>
            </w:r>
          </w:p>
        </w:tc>
        <w:tc>
          <w:tcPr>
            <w:tcW w:type="dxa" w:w="3005"/>
            <w:tcMar>
              <w:top w:w="90" w:type="dxa"/>
              <w:start w:w="110" w:type="dxa"/>
              <w:bottom w:w="90" w:type="dxa"/>
              <w:end w:w="110" w:type="dxa"/>
            </w:tcMar>
            <w:vAlign w:val="center"/>
            <w:shd w:fill="EEF5FA"/>
          </w:tcPr>
          <w:p>
            <w:pPr>
              <w:jc w:val="left"/>
            </w:pPr>
            <w:r>
              <w:rPr>
                <w:rFonts w:ascii="Noto Sans CJK SC" w:hAnsi="Noto Sans CJK SC" w:eastAsia="Noto Sans CJK SC"/>
                <w:sz w:val="17"/>
              </w:rPr>
              <w:t>61 dBW</w:t>
            </w:r>
          </w:p>
        </w:tc>
        <w:tc>
          <w:tcPr>
            <w:tcW w:type="dxa" w:w="3005"/>
            <w:tcMar>
              <w:top w:w="90" w:type="dxa"/>
              <w:start w:w="110" w:type="dxa"/>
              <w:bottom w:w="90" w:type="dxa"/>
              <w:end w:w="110" w:type="dxa"/>
            </w:tcMar>
            <w:vAlign w:val="center"/>
            <w:shd w:fill="EEF5FA"/>
          </w:tcPr>
          <w:p>
            <w:pPr>
              <w:jc w:val="left"/>
            </w:pPr>
            <w:r>
              <w:rPr>
                <w:rFonts w:ascii="Noto Sans CJK SC" w:hAnsi="Noto Sans CJK SC" w:eastAsia="Noto Sans CJK SC"/>
                <w:sz w:val="17"/>
              </w:rPr>
              <w:t>50.6 dBW</w:t>
            </w:r>
          </w:p>
        </w:tc>
      </w:tr>
      <w:tr>
        <w:trPr>
          <w:cantSplit/>
        </w:trPr>
        <w:tc>
          <w:tcPr>
            <w:tcW w:type="dxa" w:w="2835"/>
            <w:tcMar>
              <w:top w:w="90" w:type="dxa"/>
              <w:start w:w="110" w:type="dxa"/>
              <w:bottom w:w="90" w:type="dxa"/>
              <w:end w:w="110" w:type="dxa"/>
            </w:tcMar>
            <w:vAlign w:val="center"/>
          </w:tcPr>
          <w:p>
            <w:pPr>
              <w:jc w:val="center"/>
            </w:pPr>
            <w:r>
              <w:rPr>
                <w:rFonts w:ascii="Noto Sans CJK SC" w:hAnsi="Noto Sans CJK SC" w:eastAsia="Noto Sans CJK SC"/>
                <w:sz w:val="17"/>
              </w:rPr>
              <w:t>脉宽</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2 μs</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51.2 μs × 2脉冲</w:t>
            </w:r>
          </w:p>
        </w:tc>
      </w:tr>
      <w:tr>
        <w:trPr>
          <w:cantSplit/>
        </w:trPr>
        <w:tc>
          <w:tcPr>
            <w:tcW w:type="dxa" w:w="2835"/>
            <w:tcMar>
              <w:top w:w="90" w:type="dxa"/>
              <w:start w:w="110" w:type="dxa"/>
              <w:bottom w:w="90" w:type="dxa"/>
              <w:end w:w="110" w:type="dxa"/>
            </w:tcMar>
            <w:vAlign w:val="center"/>
            <w:shd w:fill="EEF5FA"/>
          </w:tcPr>
          <w:p>
            <w:pPr>
              <w:jc w:val="center"/>
            </w:pPr>
            <w:r>
              <w:rPr>
                <w:rFonts w:ascii="Noto Sans CJK SC" w:hAnsi="Noto Sans CJK SC" w:eastAsia="Noto Sans CJK SC"/>
                <w:sz w:val="17"/>
              </w:rPr>
              <w:t>PRF</w:t>
            </w:r>
          </w:p>
        </w:tc>
        <w:tc>
          <w:tcPr>
            <w:tcW w:type="dxa" w:w="3005"/>
            <w:tcMar>
              <w:top w:w="90" w:type="dxa"/>
              <w:start w:w="110" w:type="dxa"/>
              <w:bottom w:w="90" w:type="dxa"/>
              <w:end w:w="110" w:type="dxa"/>
            </w:tcMar>
            <w:vAlign w:val="center"/>
            <w:shd w:fill="EEF5FA"/>
          </w:tcPr>
          <w:p>
            <w:pPr>
              <w:jc w:val="left"/>
            </w:pPr>
            <w:r>
              <w:rPr>
                <w:rFonts w:ascii="Noto Sans CJK SC" w:hAnsi="Noto Sans CJK SC" w:eastAsia="Noto Sans CJK SC"/>
                <w:sz w:val="17"/>
              </w:rPr>
              <w:t>358 Hz</w:t>
            </w:r>
          </w:p>
        </w:tc>
        <w:tc>
          <w:tcPr>
            <w:tcW w:type="dxa" w:w="3005"/>
            <w:tcMar>
              <w:top w:w="90" w:type="dxa"/>
              <w:start w:w="110" w:type="dxa"/>
              <w:bottom w:w="90" w:type="dxa"/>
              <w:end w:w="110" w:type="dxa"/>
            </w:tcMar>
            <w:vAlign w:val="center"/>
            <w:shd w:fill="EEF5FA"/>
          </w:tcPr>
          <w:p>
            <w:pPr>
              <w:jc w:val="left"/>
            </w:pPr>
            <w:r>
              <w:rPr>
                <w:rFonts w:ascii="Noto Sans CJK SC" w:hAnsi="Noto Sans CJK SC" w:eastAsia="Noto Sans CJK SC"/>
                <w:sz w:val="17"/>
              </w:rPr>
              <w:t>750脉冲对/s</w:t>
            </w:r>
          </w:p>
        </w:tc>
      </w:tr>
      <w:tr>
        <w:trPr>
          <w:cantSplit/>
        </w:trPr>
        <w:tc>
          <w:tcPr>
            <w:tcW w:type="dxa" w:w="2835"/>
            <w:tcMar>
              <w:top w:w="90" w:type="dxa"/>
              <w:start w:w="110" w:type="dxa"/>
              <w:bottom w:w="90" w:type="dxa"/>
              <w:end w:w="110" w:type="dxa"/>
            </w:tcMar>
            <w:vAlign w:val="center"/>
          </w:tcPr>
          <w:p>
            <w:pPr>
              <w:jc w:val="center"/>
            </w:pPr>
            <w:r>
              <w:rPr>
                <w:rFonts w:ascii="Noto Sans CJK SC" w:hAnsi="Noto Sans CJK SC" w:eastAsia="Noto Sans CJK SC"/>
                <w:sz w:val="17"/>
              </w:rPr>
              <w:t>单源PDCLIM</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0.001074</w:t>
            </w:r>
          </w:p>
        </w:tc>
        <w:tc>
          <w:tcPr>
            <w:tcW w:type="dxa" w:w="3005"/>
            <w:tcMar>
              <w:top w:w="90" w:type="dxa"/>
              <w:start w:w="110" w:type="dxa"/>
              <w:bottom w:w="90" w:type="dxa"/>
              <w:end w:w="110" w:type="dxa"/>
            </w:tcMar>
            <w:vAlign w:val="center"/>
          </w:tcPr>
          <w:p>
            <w:pPr>
              <w:jc w:val="left"/>
            </w:pPr>
            <w:r>
              <w:rPr>
                <w:rFonts w:ascii="Noto Sans CJK SC" w:hAnsi="Noto Sans CJK SC" w:eastAsia="Noto Sans CJK SC"/>
                <w:sz w:val="17"/>
              </w:rPr>
              <w:t>0.0783</w:t>
            </w:r>
          </w:p>
        </w:tc>
      </w:tr>
    </w:tbl>
    <w:p>
      <w:pPr>
        <w:spacing w:after="0"/>
      </w:pP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PDCLIM,agg = 1 − (1 − 0.001074)(1 − 0.0783) = 0.0793</w:t>
            </w:r>
          </w:p>
          <w:p>
            <w:pPr>
              <w:jc w:val="center"/>
            </w:pPr>
            <w:r>
              <w:rPr>
                <w:rFonts w:ascii="Noto Sans CJK SC" w:hAnsi="Noto Sans CJK SC" w:eastAsia="Noto Sans CJK SC"/>
                <w:color w:val="666666"/>
                <w:sz w:val="18"/>
              </w:rPr>
              <w:t>由于强脉冲完全使接收机饱和，示例中RI近似为0。</w:t>
            </w:r>
          </w:p>
        </w:tc>
      </w:tr>
    </w:tbl>
    <w:p>
      <w:pPr>
        <w:spacing w:after="0"/>
      </w:pPr>
    </w:p>
    <w:p>
      <w:pPr>
        <w:keepNext w:val="0"/>
        <w:spacing w:before="0" w:after="120" w:line="348" w:lineRule="auto"/>
        <w:ind w:firstLine="420"/>
      </w:pPr>
      <w:r>
        <w:rPr>
          <w:rFonts w:ascii="Noto Sans CJK SC" w:hAnsi="Noto Sans CJK SC" w:eastAsia="Noto Sans CJK SC"/>
        </w:rPr>
        <w:t>这个0.0793后来被M.2030和RS.2537用作SBAS接收机的基线PDC。它不是人为给定的经验值，而是从两部代表性监视雷达、接收机1 μs恢复时间和补集乘积聚合得到的。</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M.2220-1，§4.1，PDF第32–33页。</w:t>
      </w:r>
    </w:p>
    <w:p>
      <w:pPr>
        <w:pStyle w:val="Heading3"/>
        <w:keepNext/>
        <w:spacing w:before="160" w:after="80"/>
      </w:pPr>
      <w:r>
        <w:rPr>
          <w:rFonts w:ascii="Noto Serif CJK SC" w:hAnsi="Noto Serif CJK SC" w:eastAsia="Noto Serif CJK SC"/>
          <w:b/>
          <w:color w:val="1F4E78"/>
          <w:sz w:val="23"/>
        </w:rPr>
        <w:t>12.2 三个TACAN台站对高精度CDMA接收机</w:t>
      </w: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PDCLIM,j = 2 × (3.5 μs + 1 μs) × 3600 s⁻¹ = 0.0324</w:t>
            </w:r>
          </w:p>
          <w:p>
            <w:pPr>
              <w:jc w:val="center"/>
            </w:pPr>
            <w:r>
              <w:rPr>
                <w:rFonts w:ascii="Noto Sans CJK SC" w:hAnsi="Noto Sans CJK SC" w:eastAsia="Noto Sans CJK SC"/>
                <w:color w:val="666666"/>
                <w:sz w:val="18"/>
              </w:rPr>
              <w:t>每个台站发射脉冲对，因此乘以2。</w:t>
            </w:r>
          </w:p>
        </w:tc>
      </w:tr>
    </w:tbl>
    <w:p>
      <w:pPr>
        <w:spacing w:after="0"/>
      </w:pP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PDCLIM,agg = 1 − (1 − 0.0324)³ = 0.09408</w:t>
            </w:r>
          </w:p>
          <w:p>
            <w:pPr>
              <w:jc w:val="center"/>
            </w:pPr>
            <w:r>
              <w:rPr>
                <w:rFonts w:ascii="Noto Sans CJK SC" w:hAnsi="Noto Sans CJK SC" w:eastAsia="Noto Sans CJK SC"/>
                <w:color w:val="666666"/>
                <w:sz w:val="18"/>
              </w:rPr>
              <w:t>三个同类强脉冲源的净时间并集。</w:t>
            </w:r>
          </w:p>
        </w:tc>
      </w:tr>
    </w:tbl>
    <w:p>
      <w:pPr>
        <w:spacing w:after="0"/>
      </w:pPr>
    </w:p>
    <w:p>
      <w:pPr>
        <w:pStyle w:val="Heading3"/>
        <w:keepNext/>
        <w:spacing w:before="160" w:after="80"/>
      </w:pPr>
      <w:r>
        <w:rPr>
          <w:rFonts w:ascii="Noto Serif CJK SC" w:hAnsi="Noto Serif CJK SC" w:eastAsia="Noto Serif CJK SC"/>
          <w:b/>
          <w:color w:val="1F4E78"/>
          <w:sz w:val="23"/>
        </w:rPr>
        <w:t>12.3 单部监视雷达对高精度半无代码接收机</w:t>
      </w:r>
    </w:p>
    <w:tbl>
      <w:tblPr>
        <w:tblW w:type="auto" w:w="0"/>
        <w:jc w:val="center"/>
        <w:tblLook w:firstColumn="1" w:firstRow="1" w:lastColumn="0" w:lastRow="0" w:noHBand="0" w:noVBand="1" w:val="04A0"/>
      </w:tblPr>
      <w:tblGrid>
        <w:gridCol w:w="9468"/>
      </w:tblGrid>
      <w:tr>
        <w:tc>
          <w:tcPr>
            <w:tcW w:type="dxa" w:w="9468"/>
            <w:shd w:fill="EEF5FA"/>
            <w:tcMar>
              <w:top w:w="120" w:type="dxa"/>
              <w:start w:w="170" w:type="dxa"/>
              <w:bottom w:w="120" w:type="dxa"/>
              <w:end w:w="170" w:type="dxa"/>
            </w:tcMar>
          </w:tcPr>
          <w:p>
            <w:pPr>
              <w:jc w:val="center"/>
            </w:pPr>
            <w:r>
              <w:rPr>
                <w:rFonts w:ascii="Cambria Math" w:hAnsi="Cambria Math" w:eastAsia="Cambria Math"/>
                <w:color w:val="1F1F1F"/>
                <w:sz w:val="23"/>
              </w:rPr>
              <w:t>PDCLIM = (50 μs + 1 μs) × 1500 s⁻¹ = 0.0765</w:t>
            </w:r>
          </w:p>
          <w:p>
            <w:pPr>
              <w:jc w:val="center"/>
            </w:pPr>
            <w:r>
              <w:rPr>
                <w:rFonts w:ascii="Noto Sans CJK SC" w:hAnsi="Noto Sans CJK SC" w:eastAsia="Noto Sans CJK SC"/>
                <w:color w:val="666666"/>
                <w:sz w:val="18"/>
              </w:rPr>
              <w:t>示例假设脉冲峰值高于饱和门限但低于生存门限。</w:t>
            </w:r>
          </w:p>
        </w:tc>
      </w:tr>
    </w:tbl>
    <w:p>
      <w:pPr>
        <w:spacing w:after="0"/>
      </w:pPr>
    </w:p>
    <w:p>
      <w:pPr>
        <w:pStyle w:val="Heading3"/>
        <w:keepNext/>
        <w:spacing w:before="160" w:after="80"/>
      </w:pPr>
      <w:r>
        <w:rPr>
          <w:rFonts w:ascii="Noto Serif CJK SC" w:hAnsi="Noto Serif CJK SC" w:eastAsia="Noto Serif CJK SC"/>
          <w:b/>
          <w:color w:val="1F4E78"/>
          <w:sz w:val="23"/>
        </w:rPr>
        <w:t>12.4 星载SAR对E6-BC/L6接收机</w:t>
      </w: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340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参数</w:t>
            </w:r>
          </w:p>
        </w:tc>
        <w:tc>
          <w:tcPr>
            <w:tcW w:type="dxa" w:w="5443"/>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报告示例值</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SAR主瓣EIRP</w:t>
            </w:r>
          </w:p>
        </w:tc>
        <w:tc>
          <w:tcPr>
            <w:tcW w:type="dxa" w:w="5443"/>
            <w:tcMar>
              <w:top w:w="90" w:type="dxa"/>
              <w:start w:w="110" w:type="dxa"/>
              <w:bottom w:w="90" w:type="dxa"/>
              <w:end w:w="110" w:type="dxa"/>
            </w:tcMar>
            <w:vAlign w:val="center"/>
          </w:tcPr>
          <w:p>
            <w:pPr>
              <w:jc w:val="left"/>
            </w:pPr>
            <w:r>
              <w:rPr>
                <w:rFonts w:ascii="Noto Sans CJK SC" w:hAnsi="Noto Sans CJK SC" w:eastAsia="Noto Sans CJK SC"/>
                <w:sz w:val="17"/>
              </w:rPr>
              <w:t>74.5 dBW</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轨道高度</w:t>
            </w:r>
          </w:p>
        </w:tc>
        <w:tc>
          <w:tcPr>
            <w:tcW w:type="dxa" w:w="5443"/>
            <w:tcMar>
              <w:top w:w="90" w:type="dxa"/>
              <w:start w:w="110" w:type="dxa"/>
              <w:bottom w:w="90" w:type="dxa"/>
              <w:end w:w="110" w:type="dxa"/>
            </w:tcMar>
            <w:vAlign w:val="center"/>
            <w:shd w:fill="EEF5FA"/>
          </w:tcPr>
          <w:p>
            <w:pPr>
              <w:jc w:val="left"/>
            </w:pPr>
            <w:r>
              <w:rPr>
                <w:rFonts w:ascii="Noto Sans CJK SC" w:hAnsi="Noto Sans CJK SC" w:eastAsia="Noto Sans CJK SC"/>
                <w:sz w:val="17"/>
              </w:rPr>
              <w:t>628 km</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中心频率</w:t>
            </w:r>
          </w:p>
        </w:tc>
        <w:tc>
          <w:tcPr>
            <w:tcW w:type="dxa" w:w="5443"/>
            <w:tcMar>
              <w:top w:w="90" w:type="dxa"/>
              <w:start w:w="110" w:type="dxa"/>
              <w:bottom w:w="90" w:type="dxa"/>
              <w:end w:w="110" w:type="dxa"/>
            </w:tcMar>
            <w:vAlign w:val="center"/>
          </w:tcPr>
          <w:p>
            <w:pPr>
              <w:jc w:val="left"/>
            </w:pPr>
            <w:r>
              <w:rPr>
                <w:rFonts w:ascii="Noto Sans CJK SC" w:hAnsi="Noto Sans CJK SC" w:eastAsia="Noto Sans CJK SC"/>
                <w:sz w:val="17"/>
              </w:rPr>
              <w:t>1257.5 MHz</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带宽</w:t>
            </w:r>
          </w:p>
        </w:tc>
        <w:tc>
          <w:tcPr>
            <w:tcW w:type="dxa" w:w="5443"/>
            <w:tcMar>
              <w:top w:w="90" w:type="dxa"/>
              <w:start w:w="110" w:type="dxa"/>
              <w:bottom w:w="90" w:type="dxa"/>
              <w:end w:w="110" w:type="dxa"/>
            </w:tcMar>
            <w:vAlign w:val="center"/>
            <w:shd w:fill="EEF5FA"/>
          </w:tcPr>
          <w:p>
            <w:pPr>
              <w:jc w:val="left"/>
            </w:pPr>
            <w:r>
              <w:rPr>
                <w:rFonts w:ascii="Noto Sans CJK SC" w:hAnsi="Noto Sans CJK SC" w:eastAsia="Noto Sans CJK SC"/>
                <w:sz w:val="17"/>
              </w:rPr>
              <w:t>28 MHz</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脉宽/PRF组合</w:t>
            </w:r>
          </w:p>
        </w:tc>
        <w:tc>
          <w:tcPr>
            <w:tcW w:type="dxa" w:w="5443"/>
            <w:tcMar>
              <w:top w:w="90" w:type="dxa"/>
              <w:start w:w="110" w:type="dxa"/>
              <w:bottom w:w="90" w:type="dxa"/>
              <w:end w:w="110" w:type="dxa"/>
            </w:tcMar>
            <w:vAlign w:val="center"/>
          </w:tcPr>
          <w:p>
            <w:pPr>
              <w:jc w:val="left"/>
            </w:pPr>
            <w:r>
              <w:rPr>
                <w:rFonts w:ascii="Noto Sans CJK SC" w:hAnsi="Noto Sans CJK SC" w:eastAsia="Noto Sans CJK SC"/>
                <w:sz w:val="17"/>
              </w:rPr>
              <w:t>11 μs / 6000 s⁻¹</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接收机恢复时间</w:t>
            </w:r>
          </w:p>
        </w:tc>
        <w:tc>
          <w:tcPr>
            <w:tcW w:type="dxa" w:w="5443"/>
            <w:tcMar>
              <w:top w:w="90" w:type="dxa"/>
              <w:start w:w="110" w:type="dxa"/>
              <w:bottom w:w="90" w:type="dxa"/>
              <w:end w:w="110" w:type="dxa"/>
            </w:tcMar>
            <w:vAlign w:val="center"/>
            <w:shd w:fill="EEF5FA"/>
          </w:tcPr>
          <w:p>
            <w:pPr>
              <w:jc w:val="left"/>
            </w:pPr>
            <w:r>
              <w:rPr>
                <w:rFonts w:ascii="Noto Sans CJK SC" w:hAnsi="Noto Sans CJK SC" w:eastAsia="Noto Sans CJK SC"/>
                <w:sz w:val="17"/>
              </w:rPr>
              <w:t>1 μs</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PDCLIM</w:t>
            </w:r>
          </w:p>
        </w:tc>
        <w:tc>
          <w:tcPr>
            <w:tcW w:type="dxa" w:w="5443"/>
            <w:tcMar>
              <w:top w:w="90" w:type="dxa"/>
              <w:start w:w="110" w:type="dxa"/>
              <w:bottom w:w="90" w:type="dxa"/>
              <w:end w:w="110" w:type="dxa"/>
            </w:tcMar>
            <w:vAlign w:val="center"/>
          </w:tcPr>
          <w:p>
            <w:pPr>
              <w:jc w:val="left"/>
            </w:pPr>
            <w:r>
              <w:rPr>
                <w:rFonts w:ascii="Noto Sans CJK SC" w:hAnsi="Noto Sans CJK SC" w:eastAsia="Noto Sans CJK SC"/>
                <w:sz w:val="17"/>
              </w:rPr>
              <w:t>(11+1)×6000×10⁻⁶ = 0.072</w:t>
            </w:r>
          </w:p>
        </w:tc>
      </w:tr>
    </w:tbl>
    <w:p>
      <w:pPr>
        <w:spacing w:after="0"/>
      </w:pP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M.2220-1，§4.2–4.3，PDF第34–37页。</w:t>
      </w:r>
    </w:p>
    <w:p>
      <w:pPr>
        <w:pStyle w:val="Heading2"/>
        <w:keepNext/>
        <w:spacing w:before="220" w:after="100"/>
      </w:pPr>
      <w:r>
        <w:rPr>
          <w:rFonts w:ascii="Noto Serif CJK SC" w:hAnsi="Noto Serif CJK SC" w:eastAsia="Noto Serif CJK SC"/>
          <w:b/>
          <w:color w:val="1F4E78"/>
          <w:sz w:val="26"/>
        </w:rPr>
        <w:t>13. M.2220-1得出了什么结论</w:t>
      </w:r>
    </w:p>
    <w:p>
      <w:pPr>
        <w:pStyle w:val="ListBullet"/>
        <w:spacing w:before="0" w:after="60" w:line="317" w:lineRule="auto"/>
        <w:ind w:left="425" w:hanging="255"/>
      </w:pPr>
      <w:r>
        <w:rPr>
          <w:rFonts w:ascii="Noto Sans CJK SC" w:hAnsi="Noto Sans CJK SC" w:eastAsia="Noto Sans CJK SC"/>
        </w:rPr>
        <w:t>可以用统一方法计算带内和邻带脉冲源对航空和地面RNSS接收机的聚合参数。</w:t>
      </w:r>
    </w:p>
    <w:p>
      <w:pPr>
        <w:pStyle w:val="ListBullet"/>
        <w:spacing w:before="0" w:after="60" w:line="317" w:lineRule="auto"/>
        <w:ind w:left="425" w:hanging="255"/>
      </w:pPr>
      <w:r>
        <w:rPr>
          <w:rFonts w:ascii="Noto Sans CJK SC" w:hAnsi="Noto Sans CJK SC" w:eastAsia="Noto Sans CJK SC"/>
        </w:rPr>
        <w:t>PDC和RI必须同时考虑：强脉冲造成时间损失，弱脉冲造成等效噪声。</w:t>
      </w:r>
    </w:p>
    <w:p>
      <w:pPr>
        <w:pStyle w:val="ListBullet"/>
        <w:spacing w:before="0" w:after="60" w:line="317" w:lineRule="auto"/>
        <w:ind w:left="425" w:hanging="255"/>
      </w:pPr>
      <w:r>
        <w:rPr>
          <w:rFonts w:ascii="Noto Sans CJK SC" w:hAnsi="Noto Sans CJK SC" w:eastAsia="Noto Sans CJK SC"/>
        </w:rPr>
        <w:t>多源PDC必须使用碰撞/补集模型，不能简单相加。</w:t>
      </w:r>
    </w:p>
    <w:p>
      <w:pPr>
        <w:pStyle w:val="ListBullet"/>
        <w:spacing w:before="0" w:after="60" w:line="317" w:lineRule="auto"/>
        <w:ind w:left="425" w:hanging="255"/>
      </w:pPr>
      <w:r>
        <w:rPr>
          <w:rFonts w:ascii="Noto Sans CJK SC" w:hAnsi="Noto Sans CJK SC" w:eastAsia="Noto Sans CJK SC"/>
        </w:rPr>
        <w:t>接收机恢复时间、滤波器选择性和熄减/饱和结构会显著改变结果。</w:t>
      </w:r>
    </w:p>
    <w:p>
      <w:pPr>
        <w:pStyle w:val="ListBullet"/>
        <w:spacing w:before="0" w:after="60" w:line="317" w:lineRule="auto"/>
        <w:ind w:left="425" w:hanging="255"/>
      </w:pPr>
      <w:r>
        <w:rPr>
          <w:rFonts w:ascii="Noto Sans CJK SC" w:hAnsi="Noto Sans CJK SC" w:eastAsia="Noto Sans CJK SC"/>
        </w:rPr>
        <w:t>计算得到的聚合参数应送入M.2030，M.2220本身不提供最终兼容性判决。</w:t>
      </w:r>
    </w:p>
    <w:p>
      <w:pPr>
        <w:pStyle w:val="ListBullet"/>
        <w:spacing w:before="0" w:after="60" w:line="317" w:lineRule="auto"/>
        <w:ind w:left="425" w:hanging="255"/>
      </w:pPr>
      <w:r>
        <w:rPr>
          <w:rFonts w:ascii="Noto Sans CJK SC" w:hAnsi="Noto Sans CJK SC" w:eastAsia="Noto Sans CJK SC"/>
        </w:rPr>
        <w:t>对更高RNSS频段的适用性仍需进一步研究。</w:t>
      </w:r>
    </w:p>
    <w:p>
      <w:pPr>
        <w:pStyle w:val="Heading2"/>
        <w:keepNext/>
        <w:spacing w:before="220" w:after="100"/>
      </w:pPr>
      <w:r>
        <w:rPr>
          <w:rFonts w:ascii="Noto Serif CJK SC" w:hAnsi="Noto Serif CJK SC" w:eastAsia="Noto Serif CJK SC"/>
          <w:b/>
          <w:color w:val="1F4E78"/>
          <w:sz w:val="26"/>
        </w:rPr>
        <w:t>14. M.2220-1的局限及项目使用注意事项</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局限</w:t>
            </w:r>
          </w:p>
        </w:tc>
        <w:tc>
          <w:tcPr>
            <w:tcW w:type="dxa" w:w="294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对项目的影响</w:t>
            </w:r>
          </w:p>
        </w:tc>
        <w:tc>
          <w:tcPr>
            <w:tcW w:type="dxa" w:w="345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建议处理</w:t>
            </w:r>
          </w:p>
        </w:tc>
      </w:tr>
      <w:tr>
        <w:trPr>
          <w:cantSplit/>
        </w:trPr>
        <w:tc>
          <w:tcPr>
            <w:tcW w:type="dxa" w:w="2438"/>
            <w:tcMar>
              <w:top w:w="90" w:type="dxa"/>
              <w:start w:w="110" w:type="dxa"/>
              <w:bottom w:w="90" w:type="dxa"/>
              <w:end w:w="110" w:type="dxa"/>
            </w:tcMar>
            <w:vAlign w:val="center"/>
          </w:tcPr>
          <w:p>
            <w:pPr>
              <w:jc w:val="center"/>
            </w:pPr>
            <w:r>
              <w:rPr>
                <w:rFonts w:ascii="Noto Sans CJK SC" w:hAnsi="Noto Sans CJK SC" w:eastAsia="Noto Sans CJK SC"/>
                <w:sz w:val="16"/>
              </w:rPr>
              <w:t>部分发射机数据库和运行密度具有地区性</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不能直接代表项目所在区域</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建立本地区台站、功率、频率和工作率数据库</w:t>
            </w:r>
          </w:p>
        </w:tc>
      </w:tr>
      <w:tr>
        <w:trPr>
          <w:cantSplit/>
        </w:trPr>
        <w:tc>
          <w:tcPr>
            <w:tcW w:type="dxa" w:w="2438"/>
            <w:tcMar>
              <w:top w:w="90" w:type="dxa"/>
              <w:start w:w="110" w:type="dxa"/>
              <w:bottom w:w="90" w:type="dxa"/>
              <w:end w:w="110" w:type="dxa"/>
            </w:tcMar>
            <w:vAlign w:val="center"/>
            <w:shd w:fill="EEF5FA"/>
          </w:tcPr>
          <w:p>
            <w:pPr>
              <w:jc w:val="center"/>
            </w:pPr>
            <w:r>
              <w:rPr>
                <w:rFonts w:ascii="Noto Sans CJK SC" w:hAnsi="Noto Sans CJK SC" w:eastAsia="Noto Sans CJK SC"/>
                <w:sz w:val="16"/>
              </w:rPr>
              <w:t>接收机模型是代表性模型</w:t>
            </w:r>
          </w:p>
        </w:tc>
        <w:tc>
          <w:tcPr>
            <w:tcW w:type="dxa" w:w="2948"/>
            <w:tcMar>
              <w:top w:w="90" w:type="dxa"/>
              <w:start w:w="110" w:type="dxa"/>
              <w:bottom w:w="90" w:type="dxa"/>
              <w:end w:w="110" w:type="dxa"/>
            </w:tcMar>
            <w:vAlign w:val="center"/>
            <w:shd w:fill="EEF5FA"/>
          </w:tcPr>
          <w:p>
            <w:pPr>
              <w:jc w:val="left"/>
            </w:pPr>
            <w:r>
              <w:rPr>
                <w:rFonts w:ascii="Noto Sans CJK SC" w:hAnsi="Noto Sans CJK SC" w:eastAsia="Noto Sans CJK SC"/>
                <w:sz w:val="16"/>
              </w:rPr>
              <w:t>真实设备门限和恢复时间可能差异很大</w:t>
            </w:r>
          </w:p>
        </w:tc>
        <w:tc>
          <w:tcPr>
            <w:tcW w:type="dxa" w:w="3458"/>
            <w:tcMar>
              <w:top w:w="90" w:type="dxa"/>
              <w:start w:w="110" w:type="dxa"/>
              <w:bottom w:w="90" w:type="dxa"/>
              <w:end w:w="110" w:type="dxa"/>
            </w:tcMar>
            <w:vAlign w:val="center"/>
            <w:shd w:fill="EEF5FA"/>
          </w:tcPr>
          <w:p>
            <w:pPr>
              <w:jc w:val="left"/>
            </w:pPr>
            <w:r>
              <w:rPr>
                <w:rFonts w:ascii="Noto Sans CJK SC" w:hAnsi="Noto Sans CJK SC" w:eastAsia="Noto Sans CJK SC"/>
                <w:sz w:val="16"/>
              </w:rPr>
              <w:t>进行接收机射频注入试验</w:t>
            </w:r>
          </w:p>
        </w:tc>
      </w:tr>
      <w:tr>
        <w:trPr>
          <w:cantSplit/>
        </w:trPr>
        <w:tc>
          <w:tcPr>
            <w:tcW w:type="dxa" w:w="2438"/>
            <w:tcMar>
              <w:top w:w="90" w:type="dxa"/>
              <w:start w:w="110" w:type="dxa"/>
              <w:bottom w:w="90" w:type="dxa"/>
              <w:end w:w="110" w:type="dxa"/>
            </w:tcMar>
            <w:vAlign w:val="center"/>
          </w:tcPr>
          <w:p>
            <w:pPr>
              <w:jc w:val="center"/>
            </w:pPr>
            <w:r>
              <w:rPr>
                <w:rFonts w:ascii="Noto Sans CJK SC" w:hAnsi="Noto Sans CJK SC" w:eastAsia="Noto Sans CJK SC"/>
                <w:sz w:val="16"/>
              </w:rPr>
              <w:t>矩形/等效脉宽近似</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复杂chirp和滤波器裙边可能被简化</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使用实测发射谱与滤波响应积分</w:t>
            </w:r>
          </w:p>
        </w:tc>
      </w:tr>
      <w:tr>
        <w:trPr>
          <w:cantSplit/>
        </w:trPr>
        <w:tc>
          <w:tcPr>
            <w:tcW w:type="dxa" w:w="2438"/>
            <w:tcMar>
              <w:top w:w="90" w:type="dxa"/>
              <w:start w:w="110" w:type="dxa"/>
              <w:bottom w:w="90" w:type="dxa"/>
              <w:end w:w="110" w:type="dxa"/>
            </w:tcMar>
            <w:vAlign w:val="center"/>
            <w:shd w:fill="EEF5FA"/>
          </w:tcPr>
          <w:p>
            <w:pPr>
              <w:jc w:val="center"/>
            </w:pPr>
            <w:r>
              <w:rPr>
                <w:rFonts w:ascii="Noto Sans CJK SC" w:hAnsi="Noto Sans CJK SC" w:eastAsia="Noto Sans CJK SC"/>
                <w:sz w:val="16"/>
              </w:rPr>
              <w:t>静态或统计场景不等于轨道同时照射</w:t>
            </w:r>
          </w:p>
        </w:tc>
        <w:tc>
          <w:tcPr>
            <w:tcW w:type="dxa" w:w="2948"/>
            <w:tcMar>
              <w:top w:w="90" w:type="dxa"/>
              <w:start w:w="110" w:type="dxa"/>
              <w:bottom w:w="90" w:type="dxa"/>
              <w:end w:w="110" w:type="dxa"/>
            </w:tcMar>
            <w:vAlign w:val="center"/>
            <w:shd w:fill="EEF5FA"/>
          </w:tcPr>
          <w:p>
            <w:pPr>
              <w:jc w:val="left"/>
            </w:pPr>
            <w:r>
              <w:rPr>
                <w:rFonts w:ascii="Noto Sans CJK SC" w:hAnsi="Noto Sans CJK SC" w:eastAsia="Noto Sans CJK SC"/>
                <w:sz w:val="16"/>
              </w:rPr>
              <w:t>无法给出多星事件时间窗口</w:t>
            </w:r>
          </w:p>
        </w:tc>
        <w:tc>
          <w:tcPr>
            <w:tcW w:type="dxa" w:w="3458"/>
            <w:tcMar>
              <w:top w:w="90" w:type="dxa"/>
              <w:start w:w="110" w:type="dxa"/>
              <w:bottom w:w="90" w:type="dxa"/>
              <w:end w:w="110" w:type="dxa"/>
            </w:tcMar>
            <w:vAlign w:val="center"/>
            <w:shd w:fill="EEF5FA"/>
          </w:tcPr>
          <w:p>
            <w:pPr>
              <w:jc w:val="left"/>
            </w:pPr>
            <w:r>
              <w:rPr>
                <w:rFonts w:ascii="Noto Sans CJK SC" w:hAnsi="Noto Sans CJK SC" w:eastAsia="Noto Sans CJK SC"/>
                <w:sz w:val="16"/>
              </w:rPr>
              <w:t>与M.2305轨道级仿真结合</w:t>
            </w:r>
          </w:p>
        </w:tc>
      </w:tr>
      <w:tr>
        <w:trPr>
          <w:cantSplit/>
        </w:trPr>
        <w:tc>
          <w:tcPr>
            <w:tcW w:type="dxa" w:w="2438"/>
            <w:tcMar>
              <w:top w:w="90" w:type="dxa"/>
              <w:start w:w="110" w:type="dxa"/>
              <w:bottom w:w="90" w:type="dxa"/>
              <w:end w:w="110" w:type="dxa"/>
            </w:tcMar>
            <w:vAlign w:val="center"/>
          </w:tcPr>
          <w:p>
            <w:pPr>
              <w:jc w:val="center"/>
            </w:pPr>
            <w:r>
              <w:rPr>
                <w:rFonts w:ascii="Noto Sans CJK SC" w:hAnsi="Noto Sans CJK SC" w:eastAsia="Noto Sans CJK SC"/>
                <w:sz w:val="16"/>
              </w:rPr>
              <w:t>输出为中间参数</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不能直接报告“合格/不合格”</w:t>
            </w:r>
          </w:p>
        </w:tc>
        <w:tc>
          <w:tcPr>
            <w:tcW w:type="dxa" w:w="3458"/>
            <w:tcMar>
              <w:top w:w="90" w:type="dxa"/>
              <w:start w:w="110" w:type="dxa"/>
              <w:bottom w:w="90" w:type="dxa"/>
              <w:end w:w="110" w:type="dxa"/>
            </w:tcMar>
            <w:vAlign w:val="center"/>
          </w:tcPr>
          <w:p>
            <w:pPr>
              <w:jc w:val="left"/>
            </w:pPr>
            <w:r>
              <w:rPr>
                <w:rFonts w:ascii="Noto Sans CJK SC" w:hAnsi="Noto Sans CJK SC" w:eastAsia="Noto Sans CJK SC"/>
                <w:sz w:val="16"/>
              </w:rPr>
              <w:t>继续使用M.2030和任务性能指标</w:t>
            </w:r>
          </w:p>
        </w:tc>
      </w:tr>
    </w:tbl>
    <w:p>
      <w:pPr>
        <w:spacing w:after="0"/>
      </w:pPr>
    </w:p>
    <w:p>
      <w:r>
        <w:br w:type="page"/>
      </w:r>
    </w:p>
    <w:p>
      <w:pPr>
        <w:pStyle w:val="Heading1"/>
        <w:keepNext/>
        <w:spacing w:before="300" w:after="160"/>
      </w:pPr>
      <w:r>
        <w:rPr>
          <w:rFonts w:ascii="Noto Serif CJK SC" w:hAnsi="Noto Serif CJK SC" w:eastAsia="Noto Serif CJK SC"/>
          <w:b/>
          <w:color w:val="1F4E78"/>
          <w:sz w:val="32"/>
        </w:rPr>
        <w:t>第二篇：Report ITU-R M.2305-1详细解读</w:t>
      </w:r>
    </w:p>
    <w:p>
      <w:pPr>
        <w:pStyle w:val="Heading2"/>
        <w:keepNext/>
        <w:spacing w:before="220" w:after="100"/>
      </w:pPr>
      <w:r>
        <w:rPr>
          <w:rFonts w:ascii="Noto Serif CJK SC" w:hAnsi="Noto Serif CJK SC" w:eastAsia="Noto Serif CJK SC"/>
          <w:b/>
          <w:color w:val="1F4E78"/>
          <w:sz w:val="26"/>
        </w:rPr>
        <w:t>15. 报告要解决什么问题</w:t>
      </w:r>
    </w:p>
    <w:p>
      <w:pPr>
        <w:keepNext w:val="0"/>
        <w:spacing w:before="0" w:after="120" w:line="348" w:lineRule="auto"/>
        <w:ind w:firstLine="420"/>
      </w:pPr>
      <w:r>
        <w:rPr>
          <w:rFonts w:ascii="Noto Sans CJK SC" w:hAnsi="Noto Sans CJK SC" w:eastAsia="Noto Sans CJK SC"/>
        </w:rPr>
        <w:t>M.2305-1关注的不是单颗SAR的瞬时最坏峰值，而是多个EESS（有源）传感器在真实轨道和波束几何下，是否会在同一时刻共同照射同一个地面RNSS接收机。报告统计的是同时照射事件的次数和持续时间，而不是直接给出最终C/N0劣化。</w:t>
      </w:r>
    </w:p>
    <w:tbl>
      <w:tblPr>
        <w:tblW w:type="auto" w:w="0"/>
        <w:jc w:val="center"/>
        <w:tblLook w:firstColumn="1" w:firstRow="1" w:lastColumn="0" w:lastRow="0" w:noHBand="0" w:noVBand="1" w:val="04A0"/>
      </w:tblPr>
      <w:tblGrid>
        <w:gridCol w:w="9468"/>
      </w:tblGrid>
      <w:tr>
        <w:tc>
          <w:tcPr>
            <w:tcW w:type="dxa" w:w="9468"/>
            <w:shd w:fill="E2F0D9"/>
            <w:tcMar>
              <w:top w:w="130" w:type="dxa"/>
              <w:start w:w="170" w:type="dxa"/>
              <w:bottom w:w="130" w:type="dxa"/>
              <w:end w:w="170" w:type="dxa"/>
            </w:tcMar>
          </w:tcPr>
          <w:p>
            <w:r>
              <w:rPr>
                <w:rFonts w:ascii="Noto Sans CJK SC" w:hAnsi="Noto Sans CJK SC" w:eastAsia="Noto Sans CJK SC"/>
                <w:b/>
                <w:color w:val="1F4E78"/>
              </w:rPr>
              <w:t>报告边界</w:t>
            </w:r>
          </w:p>
          <w:p>
            <w:pPr>
              <w:spacing w:before="0" w:after="0" w:line="331" w:lineRule="auto"/>
            </w:pPr>
            <w:r>
              <w:rPr>
                <w:rFonts w:ascii="Noto Sans CJK SC" w:hAnsi="Noto Sans CJK SC" w:eastAsia="Noto Sans CJK SC"/>
              </w:rPr>
              <w:t>M.2305-1回答“事件会不会发生、发生多频繁、持续多久”。它不独立回答“事件是否可以接受”。后者需要将实际EESS参数送入M.2220和M.2030。</w:t>
            </w:r>
          </w:p>
        </w:tc>
      </w:tr>
    </w:tbl>
    <w:p>
      <w:pPr>
        <w:spacing w:after="0"/>
      </w:pP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M.2305-1，§1–§2及§6，PDF第3–5页、第18–19页。</w:t>
      </w:r>
    </w:p>
    <w:p>
      <w:pPr>
        <w:pStyle w:val="Heading2"/>
        <w:keepNext/>
        <w:spacing w:before="220" w:after="100"/>
      </w:pPr>
      <w:r>
        <w:rPr>
          <w:rFonts w:ascii="Noto Serif CJK SC" w:hAnsi="Noto Serif CJK SC" w:eastAsia="Noto Serif CJK SC"/>
          <w:b/>
          <w:color w:val="1F4E78"/>
          <w:sz w:val="26"/>
        </w:rPr>
        <w:t>16. 报告如何定义聚合事件</w:t>
      </w:r>
    </w:p>
    <w:p>
      <w:pPr>
        <w:keepNext w:val="0"/>
        <w:spacing w:before="0" w:after="120" w:line="348" w:lineRule="auto"/>
        <w:ind w:firstLine="420"/>
      </w:pPr>
      <w:r>
        <w:rPr>
          <w:rFonts w:ascii="Noto Sans CJK SC" w:hAnsi="Noto Sans CJK SC" w:eastAsia="Noto Sans CJK SC"/>
        </w:rPr>
        <w:t>报告把每颗传感器在接收机端的峰值功率与一个特定强脉冲门限比较。主分析使用−129 dBW门限。在某一时刻，如果两颗EESS传感器都高于该门限，就记录为强—强同时照射事件。</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158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组合</w:t>
            </w:r>
          </w:p>
        </w:tc>
        <w:tc>
          <w:tcPr>
            <w:tcW w:type="dxa" w:w="351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含义</w:t>
            </w:r>
          </w:p>
        </w:tc>
        <w:tc>
          <w:tcPr>
            <w:tcW w:type="dxa" w:w="374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后续需要计算</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7"/>
              </w:rPr>
              <w:t>强—强</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7"/>
              </w:rPr>
              <w:t>两颗传感器均超过饱和/熄减门限</w:t>
            </w:r>
          </w:p>
        </w:tc>
        <w:tc>
          <w:tcPr>
            <w:tcW w:type="dxa" w:w="3742"/>
            <w:tcMar>
              <w:top w:w="90" w:type="dxa"/>
              <w:start w:w="110" w:type="dxa"/>
              <w:bottom w:w="90" w:type="dxa"/>
              <w:end w:w="110" w:type="dxa"/>
            </w:tcMar>
            <w:vAlign w:val="center"/>
          </w:tcPr>
          <w:p>
            <w:pPr>
              <w:jc w:val="left"/>
            </w:pPr>
            <w:r>
              <w:rPr>
                <w:rFonts w:ascii="Noto Sans CJK SC" w:hAnsi="Noto Sans CJK SC" w:eastAsia="Noto Sans CJK SC"/>
                <w:sz w:val="17"/>
              </w:rPr>
              <w:t>聚合PDC；M.2305的主要统计对象</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7"/>
              </w:rPr>
              <w:t>强—弱</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7"/>
              </w:rPr>
              <w:t>一颗超过门限，另一颗低于门限</w:t>
            </w:r>
          </w:p>
        </w:tc>
        <w:tc>
          <w:tcPr>
            <w:tcW w:type="dxa" w:w="3742"/>
            <w:tcMar>
              <w:top w:w="90" w:type="dxa"/>
              <w:start w:w="110" w:type="dxa"/>
              <w:bottom w:w="90" w:type="dxa"/>
              <w:end w:w="110" w:type="dxa"/>
            </w:tcMar>
            <w:vAlign w:val="center"/>
            <w:shd w:fill="EEF5FA"/>
          </w:tcPr>
          <w:p>
            <w:pPr>
              <w:jc w:val="left"/>
            </w:pPr>
            <w:r>
              <w:rPr>
                <w:rFonts w:ascii="Noto Sans CJK SC" w:hAnsi="Noto Sans CJK SC" w:eastAsia="Noto Sans CJK SC"/>
                <w:sz w:val="17"/>
              </w:rPr>
              <w:t>强源PDC + 弱源RI；弱源可能被强脉冲时间遮蔽</w:t>
            </w:r>
          </w:p>
        </w:tc>
      </w:tr>
      <w:tr>
        <w:trPr>
          <w:cantSplit/>
        </w:trPr>
        <w:tc>
          <w:tcPr>
            <w:tcW w:type="dxa" w:w="1587"/>
            <w:tcMar>
              <w:top w:w="90" w:type="dxa"/>
              <w:start w:w="110" w:type="dxa"/>
              <w:bottom w:w="90" w:type="dxa"/>
              <w:end w:w="110" w:type="dxa"/>
            </w:tcMar>
            <w:vAlign w:val="center"/>
          </w:tcPr>
          <w:p>
            <w:pPr>
              <w:jc w:val="center"/>
            </w:pPr>
            <w:r>
              <w:rPr>
                <w:rFonts w:ascii="Noto Sans CJK SC" w:hAnsi="Noto Sans CJK SC" w:eastAsia="Noto Sans CJK SC"/>
                <w:sz w:val="17"/>
              </w:rPr>
              <w:t>弱—强</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7"/>
              </w:rPr>
              <w:t>与上项对称</w:t>
            </w:r>
          </w:p>
        </w:tc>
        <w:tc>
          <w:tcPr>
            <w:tcW w:type="dxa" w:w="3742"/>
            <w:tcMar>
              <w:top w:w="90" w:type="dxa"/>
              <w:start w:w="110" w:type="dxa"/>
              <w:bottom w:w="90" w:type="dxa"/>
              <w:end w:w="110" w:type="dxa"/>
            </w:tcMar>
            <w:vAlign w:val="center"/>
          </w:tcPr>
          <w:p>
            <w:pPr>
              <w:jc w:val="left"/>
            </w:pPr>
            <w:r>
              <w:rPr>
                <w:rFonts w:ascii="Noto Sans CJK SC" w:hAnsi="Noto Sans CJK SC" w:eastAsia="Noto Sans CJK SC"/>
                <w:sz w:val="17"/>
              </w:rPr>
              <w:t>PDC与RI联合计算</w:t>
            </w:r>
          </w:p>
        </w:tc>
      </w:tr>
      <w:tr>
        <w:trPr>
          <w:cantSplit/>
        </w:trPr>
        <w:tc>
          <w:tcPr>
            <w:tcW w:type="dxa" w:w="1587"/>
            <w:tcMar>
              <w:top w:w="90" w:type="dxa"/>
              <w:start w:w="110" w:type="dxa"/>
              <w:bottom w:w="90" w:type="dxa"/>
              <w:end w:w="110" w:type="dxa"/>
            </w:tcMar>
            <w:vAlign w:val="center"/>
            <w:shd w:fill="EEF5FA"/>
          </w:tcPr>
          <w:p>
            <w:pPr>
              <w:jc w:val="center"/>
            </w:pPr>
            <w:r>
              <w:rPr>
                <w:rFonts w:ascii="Noto Sans CJK SC" w:hAnsi="Noto Sans CJK SC" w:eastAsia="Noto Sans CJK SC"/>
                <w:sz w:val="17"/>
              </w:rPr>
              <w:t>弱—弱</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7"/>
              </w:rPr>
              <w:t>两颗都低于门限</w:t>
            </w:r>
          </w:p>
        </w:tc>
        <w:tc>
          <w:tcPr>
            <w:tcW w:type="dxa" w:w="3742"/>
            <w:tcMar>
              <w:top w:w="90" w:type="dxa"/>
              <w:start w:w="110" w:type="dxa"/>
              <w:bottom w:w="90" w:type="dxa"/>
              <w:end w:w="110" w:type="dxa"/>
            </w:tcMar>
            <w:vAlign w:val="center"/>
            <w:shd w:fill="EEF5FA"/>
          </w:tcPr>
          <w:p>
            <w:pPr>
              <w:jc w:val="left"/>
            </w:pPr>
            <w:r>
              <w:rPr>
                <w:rFonts w:ascii="Noto Sans CJK SC" w:hAnsi="Noto Sans CJK SC" w:eastAsia="Noto Sans CJK SC"/>
                <w:sz w:val="17"/>
              </w:rPr>
              <w:t>RI功率密度求和</w:t>
            </w:r>
          </w:p>
        </w:tc>
      </w:tr>
    </w:tbl>
    <w:p>
      <w:pPr>
        <w:spacing w:after="0"/>
      </w:pPr>
    </w:p>
    <w:p>
      <w:pPr>
        <w:keepNext w:val="0"/>
        <w:spacing w:before="0" w:after="120" w:line="348" w:lineRule="auto"/>
        <w:ind w:firstLine="420"/>
      </w:pPr>
      <w:r>
        <w:rPr>
          <w:rFonts w:ascii="Noto Sans CJK SC" w:hAnsi="Noto Sans CJK SC" w:eastAsia="Noto Sans CJK SC"/>
        </w:rPr>
        <w:t>因此，“没有强—强事件”并不等于完全没有聚合干扰；弱—弱和强—弱仍可能提高有效噪声。报告为了聚焦轨道重叠，把主要统计限制在强—强事件。</w:t>
      </w:r>
    </w:p>
    <w:p>
      <w:pPr>
        <w:pStyle w:val="Heading2"/>
        <w:keepNext/>
        <w:spacing w:before="220" w:after="100"/>
      </w:pPr>
      <w:r>
        <w:rPr>
          <w:rFonts w:ascii="Noto Serif CJK SC" w:hAnsi="Noto Serif CJK SC" w:eastAsia="Noto Serif CJK SC"/>
          <w:b/>
          <w:color w:val="1F4E78"/>
          <w:sz w:val="26"/>
        </w:rPr>
        <w:t>17. 三类EESS传感器模型</w:t>
      </w: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5"/>
              </w:rPr>
              <w:t>参数</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5"/>
              </w:rPr>
              <w:t>SAR3</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5"/>
              </w:rPr>
              <w:t>SAR6</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5"/>
              </w:rPr>
              <w:t>Scatterometer 2</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5"/>
              </w:rPr>
              <w:t>轨道</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757 km，98°，18:00太阳同步</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628 km，97.9°，12:00太阳同步</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680 km，98°，18:00太阳同步</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5"/>
              </w:rPr>
              <w:t>峰值EIRP</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68.4 dBW</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74.5 dBW</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约60 dBW</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5"/>
              </w:rPr>
              <w:t>天线波束</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约25°×0.8°，窄方位</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4.6°×1.3°，宽波束SAR示例</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2.6°×2.6°旋转点波束</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5"/>
              </w:rPr>
              <w:t>观察角</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30°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研究中取59°</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34°，方位360°旋转</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5"/>
              </w:rPr>
              <w:t>频率/带宽</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1215–1300 MHz，78 MHz</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1236.5/1257.5/1278.5 MHz，28 MHz</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1215–1300 MHz，2×1 MHz</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5"/>
              </w:rPr>
              <w:t>脉宽/PRF</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78 μs / 2400 Hz</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18–43 μs / 1550–3640 Hz</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15 μs / 3500 Hz</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5"/>
              </w:rPr>
              <w:t>发射占空比</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18.7%</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6.81%</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5"/>
              </w:rPr>
              <w:t>10.5%</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5"/>
              </w:rPr>
              <w:t>扫描</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固定侧视</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固定侧视</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5"/>
              </w:rPr>
              <w:t>13–14.6 rpm，约4.1–4.6 s一圈</w:t>
            </w:r>
          </w:p>
        </w:tc>
      </w:tr>
    </w:tbl>
    <w:p>
      <w:pPr>
        <w:spacing w:after="0"/>
      </w:pPr>
    </w:p>
    <w:p>
      <w:pPr>
        <w:keepNext w:val="0"/>
        <w:spacing w:before="0" w:after="120" w:line="348" w:lineRule="auto"/>
        <w:ind w:firstLine="420"/>
      </w:pPr>
      <w:r>
        <w:rPr>
          <w:rFonts w:ascii="Noto Sans CJK SC" w:hAnsi="Noto Sans CJK SC" w:eastAsia="Noto Sans CJK SC"/>
        </w:rPr>
        <w:t>三个模型故意代表不同的空间覆盖特性：SAR3具有很窄的方位波束；SAR6的示例覆盖更宽；散射计波束很窄但快速旋转，会在一次过境中多次扫过接收机。这使事件统计既受轨道交叉影响，也受波束驻留方式影响。</w:t>
      </w:r>
    </w:p>
    <w:p>
      <w:pPr>
        <w:pStyle w:val="Heading2"/>
        <w:keepNext/>
        <w:spacing w:before="220" w:after="100"/>
      </w:pPr>
      <w:r>
        <w:rPr>
          <w:rFonts w:ascii="Noto Serif CJK SC" w:hAnsi="Noto Serif CJK SC" w:eastAsia="Noto Serif CJK SC"/>
          <w:b/>
          <w:color w:val="1F4E78"/>
          <w:sz w:val="26"/>
        </w:rPr>
        <w:t>18. 仿真系统怎样搭建</w:t>
      </w:r>
    </w:p>
    <w:p>
      <w:pPr>
        <w:pStyle w:val="ListNumber"/>
        <w:spacing w:before="0" w:after="60" w:line="317" w:lineRule="auto"/>
        <w:ind w:left="425" w:hanging="255"/>
      </w:pPr>
      <w:r>
        <w:rPr>
          <w:rFonts w:ascii="Noto Sans CJK SC" w:hAnsi="Noto Sans CJK SC" w:eastAsia="Noto Sans CJK SC"/>
        </w:rPr>
        <w:t>在STK中建立太阳同步轨道卫星对象，并赋予轨道高度、倾角和地方时升交点。</w:t>
      </w:r>
    </w:p>
    <w:p>
      <w:pPr>
        <w:pStyle w:val="ListNumber"/>
        <w:spacing w:before="0" w:after="60" w:line="317" w:lineRule="auto"/>
        <w:ind w:left="425" w:hanging="255"/>
      </w:pPr>
      <w:r>
        <w:rPr>
          <w:rFonts w:ascii="Noto Sans CJK SC" w:hAnsi="Noto Sans CJK SC" w:eastAsia="Noto Sans CJK SC"/>
        </w:rPr>
        <w:t>为每颗卫星添加发射机、射频参数、观察角和天线方向图。</w:t>
      </w:r>
    </w:p>
    <w:p>
      <w:pPr>
        <w:pStyle w:val="ListNumber"/>
        <w:spacing w:before="0" w:after="60" w:line="317" w:lineRule="auto"/>
        <w:ind w:left="425" w:hanging="255"/>
      </w:pPr>
      <w:r>
        <w:rPr>
          <w:rFonts w:ascii="Noto Sans CJK SC" w:hAnsi="Noto Sans CJK SC" w:eastAsia="Noto Sans CJK SC"/>
        </w:rPr>
        <w:t>在地面设置RNSS接收机点，纬度为40°、50°、60°、70°和80°，主要经度为75°W。</w:t>
      </w:r>
    </w:p>
    <w:p>
      <w:pPr>
        <w:pStyle w:val="ListNumber"/>
        <w:spacing w:before="0" w:after="60" w:line="317" w:lineRule="auto"/>
        <w:ind w:left="425" w:hanging="255"/>
      </w:pPr>
      <w:r>
        <w:rPr>
          <w:rFonts w:ascii="Noto Sans CJK SC" w:hAnsi="Noto Sans CJK SC" w:eastAsia="Noto Sans CJK SC"/>
        </w:rPr>
        <w:t>计算每颗传感器单独作用时的Received Isotropic Power（RIP）时间序列。</w:t>
      </w:r>
    </w:p>
    <w:p>
      <w:pPr>
        <w:pStyle w:val="ListNumber"/>
        <w:spacing w:before="0" w:after="60" w:line="317" w:lineRule="auto"/>
        <w:ind w:left="425" w:hanging="255"/>
      </w:pPr>
      <w:r>
        <w:rPr>
          <w:rFonts w:ascii="Noto Sans CJK SC" w:hAnsi="Noto Sans CJK SC" w:eastAsia="Noto Sans CJK SC"/>
        </w:rPr>
        <w:t>在MATLAB中加入RNSS接收天线仰角增益，把RIP转换为接收机端干扰功率。</w:t>
      </w:r>
    </w:p>
    <w:p>
      <w:pPr>
        <w:pStyle w:val="ListNumber"/>
        <w:spacing w:before="0" w:after="60" w:line="317" w:lineRule="auto"/>
        <w:ind w:left="425" w:hanging="255"/>
      </w:pPr>
      <w:r>
        <w:rPr>
          <w:rFonts w:ascii="Noto Sans CJK SC" w:hAnsi="Noto Sans CJK SC" w:eastAsia="Noto Sans CJK SC"/>
        </w:rPr>
        <w:t>逐时刻统计超过−129 dBW门限的传感器数量，并提取两颗同时超限的事件起止时间。</w:t>
      </w:r>
    </w:p>
    <w:p>
      <w:pPr>
        <w:pStyle w:val="ListNumber"/>
        <w:spacing w:before="0" w:after="60" w:line="317" w:lineRule="auto"/>
        <w:ind w:left="425" w:hanging="255"/>
      </w:pPr>
      <w:r>
        <w:rPr>
          <w:rFonts w:ascii="Noto Sans CJK SC" w:hAnsi="Noto Sans CJK SC" w:eastAsia="Noto Sans CJK SC"/>
        </w:rPr>
        <w:t>对120天结果统计事件次数、最大持续时间和中位持续时间。</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M.2305-1，§4，PDF第9–15页。</w:t>
      </w:r>
    </w:p>
    <w:p>
      <w:pPr>
        <w:pStyle w:val="Heading2"/>
        <w:keepNext/>
        <w:spacing w:before="220" w:after="100"/>
      </w:pPr>
      <w:r>
        <w:rPr>
          <w:rFonts w:ascii="Noto Serif CJK SC" w:hAnsi="Noto Serif CJK SC" w:eastAsia="Noto Serif CJK SC"/>
          <w:b/>
          <w:color w:val="1F4E78"/>
          <w:sz w:val="26"/>
        </w:rPr>
        <w:t>19. 为什么采用不同时间步长</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09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场景</w:t>
            </w:r>
          </w:p>
        </w:tc>
        <w:tc>
          <w:tcPr>
            <w:tcW w:type="dxa" w:w="323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时间步长</w:t>
            </w:r>
          </w:p>
        </w:tc>
        <w:tc>
          <w:tcPr>
            <w:tcW w:type="dxa" w:w="351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理由</w:t>
            </w:r>
          </w:p>
        </w:tc>
      </w:tr>
      <w:tr>
        <w:trPr>
          <w:cantSplit/>
        </w:trPr>
        <w:tc>
          <w:tcPr>
            <w:tcW w:type="dxa" w:w="2098"/>
            <w:tcMar>
              <w:top w:w="90" w:type="dxa"/>
              <w:start w:w="110" w:type="dxa"/>
              <w:bottom w:w="90" w:type="dxa"/>
              <w:end w:w="110" w:type="dxa"/>
            </w:tcMar>
            <w:vAlign w:val="center"/>
          </w:tcPr>
          <w:p>
            <w:pPr>
              <w:jc w:val="center"/>
            </w:pPr>
            <w:r>
              <w:rPr>
                <w:rFonts w:ascii="Noto Sans CJK SC" w:hAnsi="Noto Sans CJK SC" w:eastAsia="Noto Sans CJK SC"/>
                <w:sz w:val="17"/>
              </w:rPr>
              <w:t>SAR—SAR</w:t>
            </w:r>
          </w:p>
        </w:tc>
        <w:tc>
          <w:tcPr>
            <w:tcW w:type="dxa" w:w="3231"/>
            <w:tcMar>
              <w:top w:w="90" w:type="dxa"/>
              <w:start w:w="110" w:type="dxa"/>
              <w:bottom w:w="90" w:type="dxa"/>
              <w:end w:w="110" w:type="dxa"/>
            </w:tcMar>
            <w:vAlign w:val="center"/>
          </w:tcPr>
          <w:p>
            <w:pPr>
              <w:jc w:val="left"/>
            </w:pPr>
            <w:r>
              <w:rPr>
                <w:rFonts w:ascii="Noto Sans CJK SC" w:hAnsi="Noto Sans CJK SC" w:eastAsia="Noto Sans CJK SC"/>
                <w:sz w:val="17"/>
              </w:rPr>
              <w:t>10 s</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7"/>
              </w:rPr>
              <w:t>SAR照射足迹在地面移动较慢，单次照射持续数分钟</w:t>
            </w:r>
          </w:p>
        </w:tc>
      </w:tr>
      <w:tr>
        <w:trPr>
          <w:cantSplit/>
        </w:trPr>
        <w:tc>
          <w:tcPr>
            <w:tcW w:type="dxa" w:w="2098"/>
            <w:tcMar>
              <w:top w:w="90" w:type="dxa"/>
              <w:start w:w="110" w:type="dxa"/>
              <w:bottom w:w="90" w:type="dxa"/>
              <w:end w:w="110" w:type="dxa"/>
            </w:tcMar>
            <w:vAlign w:val="center"/>
            <w:shd w:fill="EEF5FA"/>
          </w:tcPr>
          <w:p>
            <w:pPr>
              <w:jc w:val="center"/>
            </w:pPr>
            <w:r>
              <w:rPr>
                <w:rFonts w:ascii="Noto Sans CJK SC" w:hAnsi="Noto Sans CJK SC" w:eastAsia="Noto Sans CJK SC"/>
                <w:sz w:val="17"/>
              </w:rPr>
              <w:t>SAR—散射计</w:t>
            </w:r>
          </w:p>
        </w:tc>
        <w:tc>
          <w:tcPr>
            <w:tcW w:type="dxa" w:w="3231"/>
            <w:tcMar>
              <w:top w:w="90" w:type="dxa"/>
              <w:start w:w="110" w:type="dxa"/>
              <w:bottom w:w="90" w:type="dxa"/>
              <w:end w:w="110" w:type="dxa"/>
            </w:tcMar>
            <w:vAlign w:val="center"/>
            <w:shd w:fill="EEF5FA"/>
          </w:tcPr>
          <w:p>
            <w:pPr>
              <w:jc w:val="left"/>
            </w:pPr>
            <w:r>
              <w:rPr>
                <w:rFonts w:ascii="Noto Sans CJK SC" w:hAnsi="Noto Sans CJK SC" w:eastAsia="Noto Sans CJK SC"/>
                <w:sz w:val="17"/>
              </w:rPr>
              <w:t>先找共同过境窗口，再用50 ms对每个10 min窗口精细仿真</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7"/>
              </w:rPr>
              <w:t>散射计约4.1 s旋转一周，扫过接收机的事件很短</w:t>
            </w:r>
          </w:p>
        </w:tc>
      </w:tr>
      <w:tr>
        <w:trPr>
          <w:cantSplit/>
        </w:trPr>
        <w:tc>
          <w:tcPr>
            <w:tcW w:type="dxa" w:w="2098"/>
            <w:tcMar>
              <w:top w:w="90" w:type="dxa"/>
              <w:start w:w="110" w:type="dxa"/>
              <w:bottom w:w="90" w:type="dxa"/>
              <w:end w:w="110" w:type="dxa"/>
            </w:tcMar>
            <w:vAlign w:val="center"/>
          </w:tcPr>
          <w:p>
            <w:pPr>
              <w:jc w:val="center"/>
            </w:pPr>
            <w:r>
              <w:rPr>
                <w:rFonts w:ascii="Noto Sans CJK SC" w:hAnsi="Noto Sans CJK SC" w:eastAsia="Noto Sans CJK SC"/>
                <w:sz w:val="17"/>
              </w:rPr>
              <w:t>步长验证</w:t>
            </w:r>
          </w:p>
        </w:tc>
        <w:tc>
          <w:tcPr>
            <w:tcW w:type="dxa" w:w="3231"/>
            <w:tcMar>
              <w:top w:w="90" w:type="dxa"/>
              <w:start w:w="110" w:type="dxa"/>
              <w:bottom w:w="90" w:type="dxa"/>
              <w:end w:w="110" w:type="dxa"/>
            </w:tcMar>
            <w:vAlign w:val="center"/>
          </w:tcPr>
          <w:p>
            <w:pPr>
              <w:jc w:val="left"/>
            </w:pPr>
            <w:r>
              <w:rPr>
                <w:rFonts w:ascii="Noto Sans CJK SC" w:hAnsi="Noto Sans CJK SC" w:eastAsia="Noto Sans CJK SC"/>
                <w:sz w:val="17"/>
              </w:rPr>
              <w:t>用10 ms结果抽查50 ms</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7"/>
              </w:rPr>
              <w:t>确认50 ms能够捕获强脉冲门限超限事件；峰值可能存在约数dB差异</w:t>
            </w:r>
          </w:p>
        </w:tc>
      </w:tr>
    </w:tbl>
    <w:p>
      <w:pPr>
        <w:spacing w:after="0"/>
      </w:pPr>
    </w:p>
    <w:p>
      <w:pPr>
        <w:keepNext w:val="0"/>
        <w:spacing w:before="0" w:after="120" w:line="348" w:lineRule="auto"/>
        <w:ind w:firstLine="420"/>
      </w:pPr>
      <w:r>
        <w:rPr>
          <w:rFonts w:ascii="Noto Sans CJK SC" w:hAnsi="Noto Sans CJK SC" w:eastAsia="Noto Sans CJK SC"/>
        </w:rPr>
        <w:t>这体现了动态干扰仿真的基本原则：时间步长必须由最快的几何或波束变化决定，而不是统一采用一个方便的数值。步长过大会漏掉旋转波束事件；步长过小则使120天仿真计算量不可接受。</w:t>
      </w:r>
    </w:p>
    <w:p>
      <w:pPr>
        <w:pStyle w:val="Heading2"/>
        <w:keepNext/>
        <w:spacing w:before="220" w:after="100"/>
      </w:pPr>
      <w:r>
        <w:rPr>
          <w:rFonts w:ascii="Noto Serif CJK SC" w:hAnsi="Noto Serif CJK SC" w:eastAsia="Noto Serif CJK SC"/>
          <w:b/>
          <w:color w:val="1F4E78"/>
          <w:sz w:val="26"/>
        </w:rPr>
        <w:t>20. Study A：规划/既有传感器组合</w:t>
      </w: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24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场景</w:t>
            </w:r>
          </w:p>
        </w:tc>
        <w:tc>
          <w:tcPr>
            <w:tcW w:type="dxa" w:w="283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组合</w:t>
            </w:r>
          </w:p>
        </w:tc>
        <w:tc>
          <w:tcPr>
            <w:tcW w:type="dxa" w:w="238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轨道关系</w:t>
            </w:r>
          </w:p>
        </w:tc>
        <w:tc>
          <w:tcPr>
            <w:tcW w:type="dxa" w:w="277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研究目的</w:t>
            </w:r>
          </w:p>
        </w:tc>
      </w:tr>
      <w:tr>
        <w:trPr>
          <w:cantSplit/>
        </w:trPr>
        <w:tc>
          <w:tcPr>
            <w:tcW w:type="dxa" w:w="1247"/>
            <w:tcMar>
              <w:top w:w="90" w:type="dxa"/>
              <w:start w:w="110" w:type="dxa"/>
              <w:bottom w:w="90" w:type="dxa"/>
              <w:end w:w="110" w:type="dxa"/>
            </w:tcMar>
            <w:vAlign w:val="center"/>
          </w:tcPr>
          <w:p>
            <w:pPr>
              <w:jc w:val="center"/>
            </w:pPr>
            <w:r>
              <w:rPr>
                <w:rFonts w:ascii="Noto Sans CJK SC" w:hAnsi="Noto Sans CJK SC" w:eastAsia="Noto Sans CJK SC"/>
                <w:sz w:val="17"/>
              </w:rPr>
              <w:t>A1</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SAR3 + SAR6</w:t>
            </w:r>
          </w:p>
        </w:tc>
        <w:tc>
          <w:tcPr>
            <w:tcW w:type="dxa" w:w="2381"/>
            <w:tcMar>
              <w:top w:w="90" w:type="dxa"/>
              <w:start w:w="110" w:type="dxa"/>
              <w:bottom w:w="90" w:type="dxa"/>
              <w:end w:w="110" w:type="dxa"/>
            </w:tcMar>
            <w:vAlign w:val="center"/>
          </w:tcPr>
          <w:p>
            <w:pPr>
              <w:jc w:val="left"/>
            </w:pPr>
            <w:r>
              <w:rPr>
                <w:rFonts w:ascii="Noto Sans CJK SC" w:hAnsi="Noto Sans CJK SC" w:eastAsia="Noto Sans CJK SC"/>
                <w:sz w:val="17"/>
              </w:rPr>
              <w:t>正交太阳同步轨道</w:t>
            </w:r>
          </w:p>
        </w:tc>
        <w:tc>
          <w:tcPr>
            <w:tcW w:type="dxa" w:w="2778"/>
            <w:tcMar>
              <w:top w:w="90" w:type="dxa"/>
              <w:start w:w="110" w:type="dxa"/>
              <w:bottom w:w="90" w:type="dxa"/>
              <w:end w:w="110" w:type="dxa"/>
            </w:tcMar>
            <w:vAlign w:val="center"/>
          </w:tcPr>
          <w:p>
            <w:pPr>
              <w:jc w:val="left"/>
            </w:pPr>
            <w:r>
              <w:rPr>
                <w:rFonts w:ascii="Noto Sans CJK SC" w:hAnsi="Noto Sans CJK SC" w:eastAsia="Noto Sans CJK SC"/>
                <w:sz w:val="17"/>
              </w:rPr>
              <w:t>窄波束与宽波束SAR重叠</w:t>
            </w:r>
          </w:p>
        </w:tc>
      </w:tr>
      <w:tr>
        <w:trPr>
          <w:cantSplit/>
        </w:trPr>
        <w:tc>
          <w:tcPr>
            <w:tcW w:type="dxa" w:w="1247"/>
            <w:tcMar>
              <w:top w:w="90" w:type="dxa"/>
              <w:start w:w="110" w:type="dxa"/>
              <w:bottom w:w="90" w:type="dxa"/>
              <w:end w:w="110" w:type="dxa"/>
            </w:tcMar>
            <w:vAlign w:val="center"/>
            <w:shd w:fill="EEF5FA"/>
          </w:tcPr>
          <w:p>
            <w:pPr>
              <w:jc w:val="center"/>
            </w:pPr>
            <w:r>
              <w:rPr>
                <w:rFonts w:ascii="Noto Sans CJK SC" w:hAnsi="Noto Sans CJK SC" w:eastAsia="Noto Sans CJK SC"/>
                <w:sz w:val="17"/>
              </w:rPr>
              <w:t>A2</w:t>
            </w:r>
          </w:p>
        </w:tc>
        <w:tc>
          <w:tcPr>
            <w:tcW w:type="dxa" w:w="2835"/>
            <w:tcMar>
              <w:top w:w="90" w:type="dxa"/>
              <w:start w:w="110" w:type="dxa"/>
              <w:bottom w:w="90" w:type="dxa"/>
              <w:end w:w="110" w:type="dxa"/>
            </w:tcMar>
            <w:vAlign w:val="center"/>
            <w:shd w:fill="EEF5FA"/>
          </w:tcPr>
          <w:p>
            <w:pPr>
              <w:jc w:val="left"/>
            </w:pPr>
            <w:r>
              <w:rPr>
                <w:rFonts w:ascii="Noto Sans CJK SC" w:hAnsi="Noto Sans CJK SC" w:eastAsia="Noto Sans CJK SC"/>
                <w:sz w:val="17"/>
              </w:rPr>
              <w:t>SAR3 + Scatterometer 2</w:t>
            </w:r>
          </w:p>
        </w:tc>
        <w:tc>
          <w:tcPr>
            <w:tcW w:type="dxa" w:w="2381"/>
            <w:tcMar>
              <w:top w:w="90" w:type="dxa"/>
              <w:start w:w="110" w:type="dxa"/>
              <w:bottom w:w="90" w:type="dxa"/>
              <w:end w:w="110" w:type="dxa"/>
            </w:tcMar>
            <w:vAlign w:val="center"/>
            <w:shd w:fill="EEF5FA"/>
          </w:tcPr>
          <w:p>
            <w:pPr>
              <w:jc w:val="left"/>
            </w:pPr>
            <w:r>
              <w:rPr>
                <w:rFonts w:ascii="Noto Sans CJK SC" w:hAnsi="Noto Sans CJK SC" w:eastAsia="Noto Sans CJK SC"/>
                <w:sz w:val="17"/>
              </w:rPr>
              <w:t>近共面，不同高度</w:t>
            </w:r>
          </w:p>
        </w:tc>
        <w:tc>
          <w:tcPr>
            <w:tcW w:type="dxa" w:w="2778"/>
            <w:tcMar>
              <w:top w:w="90" w:type="dxa"/>
              <w:start w:w="110" w:type="dxa"/>
              <w:bottom w:w="90" w:type="dxa"/>
              <w:end w:w="110" w:type="dxa"/>
            </w:tcMar>
            <w:vAlign w:val="center"/>
            <w:shd w:fill="EEF5FA"/>
          </w:tcPr>
          <w:p>
            <w:pPr>
              <w:jc w:val="left"/>
            </w:pPr>
            <w:r>
              <w:rPr>
                <w:rFonts w:ascii="Noto Sans CJK SC" w:hAnsi="Noto Sans CJK SC" w:eastAsia="Noto Sans CJK SC"/>
                <w:sz w:val="17"/>
              </w:rPr>
              <w:t>SAR固定波束与旋转散射计多次扫描</w:t>
            </w:r>
          </w:p>
        </w:tc>
      </w:tr>
      <w:tr>
        <w:trPr>
          <w:cantSplit/>
        </w:trPr>
        <w:tc>
          <w:tcPr>
            <w:tcW w:type="dxa" w:w="1247"/>
            <w:tcMar>
              <w:top w:w="90" w:type="dxa"/>
              <w:start w:w="110" w:type="dxa"/>
              <w:bottom w:w="90" w:type="dxa"/>
              <w:end w:w="110" w:type="dxa"/>
            </w:tcMar>
            <w:vAlign w:val="center"/>
          </w:tcPr>
          <w:p>
            <w:pPr>
              <w:jc w:val="center"/>
            </w:pPr>
            <w:r>
              <w:rPr>
                <w:rFonts w:ascii="Noto Sans CJK SC" w:hAnsi="Noto Sans CJK SC" w:eastAsia="Noto Sans CJK SC"/>
                <w:sz w:val="17"/>
              </w:rPr>
              <w:t>A3</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SAR6 + Scatterometer 2</w:t>
            </w:r>
          </w:p>
        </w:tc>
        <w:tc>
          <w:tcPr>
            <w:tcW w:type="dxa" w:w="2381"/>
            <w:tcMar>
              <w:top w:w="90" w:type="dxa"/>
              <w:start w:w="110" w:type="dxa"/>
              <w:bottom w:w="90" w:type="dxa"/>
              <w:end w:w="110" w:type="dxa"/>
            </w:tcMar>
            <w:vAlign w:val="center"/>
          </w:tcPr>
          <w:p>
            <w:pPr>
              <w:jc w:val="left"/>
            </w:pPr>
            <w:r>
              <w:rPr>
                <w:rFonts w:ascii="Noto Sans CJK SC" w:hAnsi="Noto Sans CJK SC" w:eastAsia="Noto Sans CJK SC"/>
                <w:sz w:val="17"/>
              </w:rPr>
              <w:t>正交轨道</w:t>
            </w:r>
          </w:p>
        </w:tc>
        <w:tc>
          <w:tcPr>
            <w:tcW w:type="dxa" w:w="2778"/>
            <w:tcMar>
              <w:top w:w="90" w:type="dxa"/>
              <w:start w:w="110" w:type="dxa"/>
              <w:bottom w:w="90" w:type="dxa"/>
              <w:end w:w="110" w:type="dxa"/>
            </w:tcMar>
            <w:vAlign w:val="center"/>
          </w:tcPr>
          <w:p>
            <w:pPr>
              <w:jc w:val="left"/>
            </w:pPr>
            <w:r>
              <w:rPr>
                <w:rFonts w:ascii="Noto Sans CJK SC" w:hAnsi="Noto Sans CJK SC" w:eastAsia="Noto Sans CJK SC"/>
                <w:sz w:val="17"/>
              </w:rPr>
              <w:t>宽波束SAR与旋转点波束重叠</w:t>
            </w:r>
          </w:p>
        </w:tc>
      </w:tr>
    </w:tbl>
    <w:p>
      <w:pPr>
        <w:spacing w:after="0"/>
      </w:pP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41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纬度</w:t>
            </w:r>
          </w:p>
        </w:tc>
        <w:tc>
          <w:tcPr>
            <w:tcW w:type="dxa" w:w="2154"/>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A1事件</w:t>
            </w:r>
          </w:p>
        </w:tc>
        <w:tc>
          <w:tcPr>
            <w:tcW w:type="dxa" w:w="283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A2扫描事件（过境）</w:t>
            </w:r>
          </w:p>
        </w:tc>
        <w:tc>
          <w:tcPr>
            <w:tcW w:type="dxa" w:w="283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A3扫描事件（过境）</w:t>
            </w:r>
          </w:p>
        </w:tc>
      </w:tr>
      <w:tr>
        <w:trPr>
          <w:cantSplit/>
        </w:trPr>
        <w:tc>
          <w:tcPr>
            <w:tcW w:type="dxa" w:w="1417"/>
            <w:tcMar>
              <w:top w:w="90" w:type="dxa"/>
              <w:start w:w="110" w:type="dxa"/>
              <w:bottom w:w="90" w:type="dxa"/>
              <w:end w:w="110" w:type="dxa"/>
            </w:tcMar>
            <w:vAlign w:val="center"/>
          </w:tcPr>
          <w:p>
            <w:pPr>
              <w:jc w:val="center"/>
            </w:pPr>
            <w:r>
              <w:rPr>
                <w:rFonts w:ascii="Noto Sans CJK SC" w:hAnsi="Noto Sans CJK SC" w:eastAsia="Noto Sans CJK SC"/>
                <w:sz w:val="17"/>
              </w:rPr>
              <w:t>40°</w:t>
            </w:r>
          </w:p>
        </w:tc>
        <w:tc>
          <w:tcPr>
            <w:tcW w:type="dxa" w:w="2154"/>
            <w:tcMar>
              <w:top w:w="90" w:type="dxa"/>
              <w:start w:w="110" w:type="dxa"/>
              <w:bottom w:w="90" w:type="dxa"/>
              <w:end w:w="110" w:type="dxa"/>
            </w:tcMar>
            <w:vAlign w:val="center"/>
          </w:tcPr>
          <w:p>
            <w:pPr>
              <w:jc w:val="left"/>
            </w:pPr>
            <w:r>
              <w:rPr>
                <w:rFonts w:ascii="Noto Sans CJK SC" w:hAnsi="Noto Sans CJK SC" w:eastAsia="Noto Sans CJK SC"/>
                <w:sz w:val="17"/>
              </w:rPr>
              <w:t>0</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91（5）</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0</w:t>
            </w:r>
          </w:p>
        </w:tc>
      </w:tr>
      <w:tr>
        <w:trPr>
          <w:cantSplit/>
        </w:trPr>
        <w:tc>
          <w:tcPr>
            <w:tcW w:type="dxa" w:w="1417"/>
            <w:tcMar>
              <w:top w:w="90" w:type="dxa"/>
              <w:start w:w="110" w:type="dxa"/>
              <w:bottom w:w="90" w:type="dxa"/>
              <w:end w:w="110" w:type="dxa"/>
            </w:tcMar>
            <w:vAlign w:val="center"/>
            <w:shd w:fill="EEF5FA"/>
          </w:tcPr>
          <w:p>
            <w:pPr>
              <w:jc w:val="center"/>
            </w:pPr>
            <w:r>
              <w:rPr>
                <w:rFonts w:ascii="Noto Sans CJK SC" w:hAnsi="Noto Sans CJK SC" w:eastAsia="Noto Sans CJK SC"/>
                <w:sz w:val="17"/>
              </w:rPr>
              <w:t>50°</w:t>
            </w:r>
          </w:p>
        </w:tc>
        <w:tc>
          <w:tcPr>
            <w:tcW w:type="dxa" w:w="2154"/>
            <w:tcMar>
              <w:top w:w="90" w:type="dxa"/>
              <w:start w:w="110" w:type="dxa"/>
              <w:bottom w:w="90" w:type="dxa"/>
              <w:end w:w="110" w:type="dxa"/>
            </w:tcMar>
            <w:vAlign w:val="center"/>
            <w:shd w:fill="EEF5FA"/>
          </w:tcPr>
          <w:p>
            <w:pPr>
              <w:jc w:val="left"/>
            </w:pPr>
            <w:r>
              <w:rPr>
                <w:rFonts w:ascii="Noto Sans CJK SC" w:hAnsi="Noto Sans CJK SC" w:eastAsia="Noto Sans CJK SC"/>
                <w:sz w:val="17"/>
              </w:rPr>
              <w:t>0</w:t>
            </w:r>
          </w:p>
        </w:tc>
        <w:tc>
          <w:tcPr>
            <w:tcW w:type="dxa" w:w="2835"/>
            <w:tcMar>
              <w:top w:w="90" w:type="dxa"/>
              <w:start w:w="110" w:type="dxa"/>
              <w:bottom w:w="90" w:type="dxa"/>
              <w:end w:w="110" w:type="dxa"/>
            </w:tcMar>
            <w:vAlign w:val="center"/>
            <w:shd w:fill="EEF5FA"/>
          </w:tcPr>
          <w:p>
            <w:pPr>
              <w:jc w:val="left"/>
            </w:pPr>
            <w:r>
              <w:rPr>
                <w:rFonts w:ascii="Noto Sans CJK SC" w:hAnsi="Noto Sans CJK SC" w:eastAsia="Noto Sans CJK SC"/>
                <w:sz w:val="17"/>
              </w:rPr>
              <w:t>82（4）</w:t>
            </w:r>
          </w:p>
        </w:tc>
        <w:tc>
          <w:tcPr>
            <w:tcW w:type="dxa" w:w="2835"/>
            <w:tcMar>
              <w:top w:w="90" w:type="dxa"/>
              <w:start w:w="110" w:type="dxa"/>
              <w:bottom w:w="90" w:type="dxa"/>
              <w:end w:w="110" w:type="dxa"/>
            </w:tcMar>
            <w:vAlign w:val="center"/>
            <w:shd w:fill="EEF5FA"/>
          </w:tcPr>
          <w:p>
            <w:pPr>
              <w:jc w:val="left"/>
            </w:pPr>
            <w:r>
              <w:rPr>
                <w:rFonts w:ascii="Noto Sans CJK SC" w:hAnsi="Noto Sans CJK SC" w:eastAsia="Noto Sans CJK SC"/>
                <w:sz w:val="17"/>
              </w:rPr>
              <w:t>0</w:t>
            </w:r>
          </w:p>
        </w:tc>
      </w:tr>
      <w:tr>
        <w:trPr>
          <w:cantSplit/>
        </w:trPr>
        <w:tc>
          <w:tcPr>
            <w:tcW w:type="dxa" w:w="1417"/>
            <w:tcMar>
              <w:top w:w="90" w:type="dxa"/>
              <w:start w:w="110" w:type="dxa"/>
              <w:bottom w:w="90" w:type="dxa"/>
              <w:end w:w="110" w:type="dxa"/>
            </w:tcMar>
            <w:vAlign w:val="center"/>
          </w:tcPr>
          <w:p>
            <w:pPr>
              <w:jc w:val="center"/>
            </w:pPr>
            <w:r>
              <w:rPr>
                <w:rFonts w:ascii="Noto Sans CJK SC" w:hAnsi="Noto Sans CJK SC" w:eastAsia="Noto Sans CJK SC"/>
                <w:sz w:val="17"/>
              </w:rPr>
              <w:t>60°</w:t>
            </w:r>
          </w:p>
        </w:tc>
        <w:tc>
          <w:tcPr>
            <w:tcW w:type="dxa" w:w="2154"/>
            <w:tcMar>
              <w:top w:w="90" w:type="dxa"/>
              <w:start w:w="110" w:type="dxa"/>
              <w:bottom w:w="90" w:type="dxa"/>
              <w:end w:w="110" w:type="dxa"/>
            </w:tcMar>
            <w:vAlign w:val="center"/>
          </w:tcPr>
          <w:p>
            <w:pPr>
              <w:jc w:val="left"/>
            </w:pPr>
            <w:r>
              <w:rPr>
                <w:rFonts w:ascii="Noto Sans CJK SC" w:hAnsi="Noto Sans CJK SC" w:eastAsia="Noto Sans CJK SC"/>
                <w:sz w:val="17"/>
              </w:rPr>
              <w:t>0</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87（5）</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0</w:t>
            </w:r>
          </w:p>
        </w:tc>
      </w:tr>
      <w:tr>
        <w:trPr>
          <w:cantSplit/>
        </w:trPr>
        <w:tc>
          <w:tcPr>
            <w:tcW w:type="dxa" w:w="1417"/>
            <w:tcMar>
              <w:top w:w="90" w:type="dxa"/>
              <w:start w:w="110" w:type="dxa"/>
              <w:bottom w:w="90" w:type="dxa"/>
              <w:end w:w="110" w:type="dxa"/>
            </w:tcMar>
            <w:vAlign w:val="center"/>
            <w:shd w:fill="EEF5FA"/>
          </w:tcPr>
          <w:p>
            <w:pPr>
              <w:jc w:val="center"/>
            </w:pPr>
            <w:r>
              <w:rPr>
                <w:rFonts w:ascii="Noto Sans CJK SC" w:hAnsi="Noto Sans CJK SC" w:eastAsia="Noto Sans CJK SC"/>
                <w:sz w:val="17"/>
              </w:rPr>
              <w:t>70°</w:t>
            </w:r>
          </w:p>
        </w:tc>
        <w:tc>
          <w:tcPr>
            <w:tcW w:type="dxa" w:w="2154"/>
            <w:tcMar>
              <w:top w:w="90" w:type="dxa"/>
              <w:start w:w="110" w:type="dxa"/>
              <w:bottom w:w="90" w:type="dxa"/>
              <w:end w:w="110" w:type="dxa"/>
            </w:tcMar>
            <w:vAlign w:val="center"/>
            <w:shd w:fill="EEF5FA"/>
          </w:tcPr>
          <w:p>
            <w:pPr>
              <w:jc w:val="left"/>
            </w:pPr>
            <w:r>
              <w:rPr>
                <w:rFonts w:ascii="Noto Sans CJK SC" w:hAnsi="Noto Sans CJK SC" w:eastAsia="Noto Sans CJK SC"/>
                <w:sz w:val="17"/>
              </w:rPr>
              <w:t>0</w:t>
            </w:r>
          </w:p>
        </w:tc>
        <w:tc>
          <w:tcPr>
            <w:tcW w:type="dxa" w:w="2835"/>
            <w:tcMar>
              <w:top w:w="90" w:type="dxa"/>
              <w:start w:w="110" w:type="dxa"/>
              <w:bottom w:w="90" w:type="dxa"/>
              <w:end w:w="110" w:type="dxa"/>
            </w:tcMar>
            <w:vAlign w:val="center"/>
            <w:shd w:fill="EEF5FA"/>
          </w:tcPr>
          <w:p>
            <w:pPr>
              <w:jc w:val="left"/>
            </w:pPr>
            <w:r>
              <w:rPr>
                <w:rFonts w:ascii="Noto Sans CJK SC" w:hAnsi="Noto Sans CJK SC" w:eastAsia="Noto Sans CJK SC"/>
                <w:sz w:val="17"/>
              </w:rPr>
              <w:t>139（9）</w:t>
            </w:r>
          </w:p>
        </w:tc>
        <w:tc>
          <w:tcPr>
            <w:tcW w:type="dxa" w:w="2835"/>
            <w:tcMar>
              <w:top w:w="90" w:type="dxa"/>
              <w:start w:w="110" w:type="dxa"/>
              <w:bottom w:w="90" w:type="dxa"/>
              <w:end w:w="110" w:type="dxa"/>
            </w:tcMar>
            <w:vAlign w:val="center"/>
            <w:shd w:fill="EEF5FA"/>
          </w:tcPr>
          <w:p>
            <w:pPr>
              <w:jc w:val="left"/>
            </w:pPr>
            <w:r>
              <w:rPr>
                <w:rFonts w:ascii="Noto Sans CJK SC" w:hAnsi="Noto Sans CJK SC" w:eastAsia="Noto Sans CJK SC"/>
                <w:sz w:val="17"/>
              </w:rPr>
              <w:t>6（1）</w:t>
            </w:r>
          </w:p>
        </w:tc>
      </w:tr>
      <w:tr>
        <w:trPr>
          <w:cantSplit/>
        </w:trPr>
        <w:tc>
          <w:tcPr>
            <w:tcW w:type="dxa" w:w="1417"/>
            <w:tcMar>
              <w:top w:w="90" w:type="dxa"/>
              <w:start w:w="110" w:type="dxa"/>
              <w:bottom w:w="90" w:type="dxa"/>
              <w:end w:w="110" w:type="dxa"/>
            </w:tcMar>
            <w:vAlign w:val="center"/>
          </w:tcPr>
          <w:p>
            <w:pPr>
              <w:jc w:val="center"/>
            </w:pPr>
            <w:r>
              <w:rPr>
                <w:rFonts w:ascii="Noto Sans CJK SC" w:hAnsi="Noto Sans CJK SC" w:eastAsia="Noto Sans CJK SC"/>
                <w:sz w:val="17"/>
              </w:rPr>
              <w:t>80°</w:t>
            </w:r>
          </w:p>
        </w:tc>
        <w:tc>
          <w:tcPr>
            <w:tcW w:type="dxa" w:w="2154"/>
            <w:tcMar>
              <w:top w:w="90" w:type="dxa"/>
              <w:start w:w="110" w:type="dxa"/>
              <w:bottom w:w="90" w:type="dxa"/>
              <w:end w:w="110" w:type="dxa"/>
            </w:tcMar>
            <w:vAlign w:val="center"/>
          </w:tcPr>
          <w:p>
            <w:pPr>
              <w:jc w:val="left"/>
            </w:pPr>
            <w:r>
              <w:rPr>
                <w:rFonts w:ascii="Noto Sans CJK SC" w:hAnsi="Noto Sans CJK SC" w:eastAsia="Noto Sans CJK SC"/>
                <w:sz w:val="17"/>
              </w:rPr>
              <w:t>41</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409（18）</w:t>
            </w:r>
          </w:p>
        </w:tc>
        <w:tc>
          <w:tcPr>
            <w:tcW w:type="dxa" w:w="2835"/>
            <w:tcMar>
              <w:top w:w="90" w:type="dxa"/>
              <w:start w:w="110" w:type="dxa"/>
              <w:bottom w:w="90" w:type="dxa"/>
              <w:end w:w="110" w:type="dxa"/>
            </w:tcMar>
            <w:vAlign w:val="center"/>
          </w:tcPr>
          <w:p>
            <w:pPr>
              <w:jc w:val="left"/>
            </w:pPr>
            <w:r>
              <w:rPr>
                <w:rFonts w:ascii="Noto Sans CJK SC" w:hAnsi="Noto Sans CJK SC" w:eastAsia="Noto Sans CJK SC"/>
                <w:sz w:val="17"/>
              </w:rPr>
              <w:t>1186（63）</w:t>
            </w:r>
          </w:p>
        </w:tc>
      </w:tr>
    </w:tbl>
    <w:p>
      <w:pPr>
        <w:spacing w:after="0"/>
      </w:pPr>
    </w:p>
    <w:p>
      <w:pPr>
        <w:jc w:val="center"/>
      </w:pPr>
      <w:r>
        <w:drawing>
          <wp:inline xmlns:a="http://schemas.openxmlformats.org/drawingml/2006/main" xmlns:pic="http://schemas.openxmlformats.org/drawingml/2006/picture">
            <wp:extent cx="5688000" cy="3190830"/>
            <wp:docPr id="2" name="Picture 2"/>
            <wp:cNvGraphicFramePr>
              <a:graphicFrameLocks noChangeAspect="1"/>
            </wp:cNvGraphicFramePr>
            <a:graphic>
              <a:graphicData uri="http://schemas.openxmlformats.org/drawingml/2006/picture">
                <pic:pic>
                  <pic:nvPicPr>
                    <pic:cNvPr id="0" name="m2305_study_a_events.png"/>
                    <pic:cNvPicPr/>
                  </pic:nvPicPr>
                  <pic:blipFill>
                    <a:blip r:embed="rId12"/>
                    <a:stretch>
                      <a:fillRect/>
                    </a:stretch>
                  </pic:blipFill>
                  <pic:spPr>
                    <a:xfrm>
                      <a:off x="0" y="0"/>
                      <a:ext cx="5688000" cy="3190830"/>
                    </a:xfrm>
                    <a:prstGeom prst="rect"/>
                  </pic:spPr>
                </pic:pic>
              </a:graphicData>
            </a:graphic>
          </wp:inline>
        </w:drawing>
      </w:r>
    </w:p>
    <w:p>
      <w:pPr>
        <w:spacing w:before="0" w:after="140" w:line="264" w:lineRule="auto"/>
        <w:jc w:val="center"/>
      </w:pPr>
      <w:r>
        <w:rPr>
          <w:rFonts w:ascii="Noto Sans CJK SC" w:hAnsi="Noto Sans CJK SC" w:eastAsia="Noto Sans CJK SC"/>
          <w:i/>
          <w:color w:val="666666"/>
          <w:sz w:val="18"/>
        </w:rPr>
        <w:t>图2  M.2305-1 Study A在120天内的强—强事件计数（纵轴采用对称对数尺度；散射计列按单次扫描计数）</w:t>
      </w:r>
    </w:p>
    <w:p>
      <w:pPr>
        <w:keepNext w:val="0"/>
        <w:spacing w:before="0" w:after="120" w:line="348" w:lineRule="auto"/>
        <w:ind w:firstLine="420"/>
      </w:pPr>
      <w:r>
        <w:rPr>
          <w:rFonts w:ascii="Noto Sans CJK SC" w:hAnsi="Noto Sans CJK SC" w:eastAsia="Noto Sans CJK SC"/>
        </w:rPr>
        <w:t>A1只在80°高纬出现41次重叠，最长6.5 min、中位1.5 min。A2和A3由于散射计在一次共同过境中反复扫描，表中的大数是“波束扫描事件”而非轨道过境次数；括号内才是共同过境次数。例如A3在80°有1186次扫描超限，但对应63次轨道共同过境。</w:t>
      </w:r>
    </w:p>
    <w:tbl>
      <w:tblPr>
        <w:tblW w:type="auto" w:w="0"/>
        <w:jc w:val="center"/>
        <w:tblLook w:firstColumn="1" w:firstRow="1" w:lastColumn="0" w:lastRow="0" w:noHBand="0" w:noVBand="1" w:val="04A0"/>
      </w:tblPr>
      <w:tblGrid>
        <w:gridCol w:w="9468"/>
      </w:tblGrid>
      <w:tr>
        <w:tc>
          <w:tcPr>
            <w:tcW w:type="dxa" w:w="9468"/>
            <w:shd w:fill="FCE4D6"/>
            <w:tcMar>
              <w:top w:w="130" w:type="dxa"/>
              <w:start w:w="170" w:type="dxa"/>
              <w:bottom w:w="130" w:type="dxa"/>
              <w:end w:w="170" w:type="dxa"/>
            </w:tcMar>
          </w:tcPr>
          <w:p>
            <w:r>
              <w:rPr>
                <w:rFonts w:ascii="Noto Sans CJK SC" w:hAnsi="Noto Sans CJK SC" w:eastAsia="Noto Sans CJK SC"/>
                <w:b/>
                <w:color w:val="1F4E78"/>
              </w:rPr>
              <w:t>Study A不能直接解读为运行风险</w:t>
            </w:r>
          </w:p>
          <w:p>
            <w:pPr>
              <w:spacing w:before="0" w:after="0" w:line="331" w:lineRule="auto"/>
            </w:pPr>
            <w:r>
              <w:rPr>
                <w:rFonts w:ascii="Noto Sans CJK SC" w:hAnsi="Noto Sans CJK SC" w:eastAsia="Noto Sans CJK SC"/>
              </w:rPr>
              <w:t>报告没有把传感器实际开机占空比和“同一区域不得同时成像”的运营约束全部计入。此外，所列任务寿命不一定重叠。因此这些数字用于识别几何潜势，不等于实际年度超限次数。</w:t>
            </w:r>
          </w:p>
        </w:tc>
      </w:tr>
    </w:tbl>
    <w:p>
      <w:pPr>
        <w:spacing w:after="0"/>
      </w:pPr>
    </w:p>
    <w:p>
      <w:pPr>
        <w:pStyle w:val="Heading2"/>
        <w:keepNext/>
        <w:spacing w:before="220" w:after="100"/>
      </w:pPr>
      <w:r>
        <w:rPr>
          <w:rFonts w:ascii="Noto Serif CJK SC" w:hAnsi="Noto Serif CJK SC" w:eastAsia="Noto Serif CJK SC"/>
          <w:b/>
          <w:color w:val="1F4E78"/>
          <w:sz w:val="26"/>
        </w:rPr>
        <w:t>21. Study B：未来部署的敏感性研究</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124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场景</w:t>
            </w:r>
          </w:p>
        </w:tc>
        <w:tc>
          <w:tcPr>
            <w:tcW w:type="dxa" w:w="340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模型</w:t>
            </w:r>
          </w:p>
        </w:tc>
        <w:tc>
          <w:tcPr>
            <w:tcW w:type="dxa" w:w="4479"/>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关键问题</w:t>
            </w:r>
          </w:p>
        </w:tc>
      </w:tr>
      <w:tr>
        <w:trPr>
          <w:cantSplit/>
        </w:trPr>
        <w:tc>
          <w:tcPr>
            <w:tcW w:type="dxa" w:w="1247"/>
            <w:tcMar>
              <w:top w:w="90" w:type="dxa"/>
              <w:start w:w="110" w:type="dxa"/>
              <w:bottom w:w="90" w:type="dxa"/>
              <w:end w:w="110" w:type="dxa"/>
            </w:tcMar>
            <w:vAlign w:val="center"/>
          </w:tcPr>
          <w:p>
            <w:pPr>
              <w:jc w:val="center"/>
            </w:pPr>
            <w:r>
              <w:rPr>
                <w:rFonts w:ascii="Noto Sans CJK SC" w:hAnsi="Noto Sans CJK SC" w:eastAsia="Noto Sans CJK SC"/>
                <w:sz w:val="17"/>
              </w:rPr>
              <w:t>B4</w:t>
            </w:r>
          </w:p>
        </w:tc>
        <w:tc>
          <w:tcPr>
            <w:tcW w:type="dxa" w:w="3402"/>
            <w:tcMar>
              <w:top w:w="90" w:type="dxa"/>
              <w:start w:w="110" w:type="dxa"/>
              <w:bottom w:w="90" w:type="dxa"/>
              <w:end w:w="110" w:type="dxa"/>
            </w:tcMar>
            <w:vAlign w:val="center"/>
          </w:tcPr>
          <w:p>
            <w:pPr>
              <w:jc w:val="left"/>
            </w:pPr>
            <w:r>
              <w:rPr>
                <w:rFonts w:ascii="Noto Sans CJK SC" w:hAnsi="Noto Sans CJK SC" w:eastAsia="Noto Sans CJK SC"/>
                <w:sz w:val="17"/>
              </w:rPr>
              <w:t>两颗宽波束SAR，正交轨道</w:t>
            </w:r>
          </w:p>
        </w:tc>
        <w:tc>
          <w:tcPr>
            <w:tcW w:type="dxa" w:w="4479"/>
            <w:tcMar>
              <w:top w:w="90" w:type="dxa"/>
              <w:start w:w="110" w:type="dxa"/>
              <w:bottom w:w="90" w:type="dxa"/>
              <w:end w:w="110" w:type="dxa"/>
            </w:tcMar>
            <w:vAlign w:val="center"/>
          </w:tcPr>
          <w:p>
            <w:pPr>
              <w:jc w:val="left"/>
            </w:pPr>
            <w:r>
              <w:rPr>
                <w:rFonts w:ascii="Noto Sans CJK SC" w:hAnsi="Noto Sans CJK SC" w:eastAsia="Noto Sans CJK SC"/>
                <w:sz w:val="17"/>
              </w:rPr>
              <w:t>高纬轨道交叉会形成多少事件</w:t>
            </w:r>
          </w:p>
        </w:tc>
      </w:tr>
      <w:tr>
        <w:trPr>
          <w:cantSplit/>
        </w:trPr>
        <w:tc>
          <w:tcPr>
            <w:tcW w:type="dxa" w:w="1247"/>
            <w:tcMar>
              <w:top w:w="90" w:type="dxa"/>
              <w:start w:w="110" w:type="dxa"/>
              <w:bottom w:w="90" w:type="dxa"/>
              <w:end w:w="110" w:type="dxa"/>
            </w:tcMar>
            <w:vAlign w:val="center"/>
            <w:shd w:fill="EEF5FA"/>
          </w:tcPr>
          <w:p>
            <w:pPr>
              <w:jc w:val="center"/>
            </w:pPr>
            <w:r>
              <w:rPr>
                <w:rFonts w:ascii="Noto Sans CJK SC" w:hAnsi="Noto Sans CJK SC" w:eastAsia="Noto Sans CJK SC"/>
                <w:sz w:val="17"/>
              </w:rPr>
              <w:t>B5</w:t>
            </w:r>
          </w:p>
        </w:tc>
        <w:tc>
          <w:tcPr>
            <w:tcW w:type="dxa" w:w="3402"/>
            <w:tcMar>
              <w:top w:w="90" w:type="dxa"/>
              <w:start w:w="110" w:type="dxa"/>
              <w:bottom w:w="90" w:type="dxa"/>
              <w:end w:w="110" w:type="dxa"/>
            </w:tcMar>
            <w:vAlign w:val="center"/>
            <w:shd w:fill="EEF5FA"/>
          </w:tcPr>
          <w:p>
            <w:pPr>
              <w:jc w:val="left"/>
            </w:pPr>
            <w:r>
              <w:rPr>
                <w:rFonts w:ascii="Noto Sans CJK SC" w:hAnsi="Noto Sans CJK SC" w:eastAsia="Noto Sans CJK SC"/>
                <w:sz w:val="17"/>
              </w:rPr>
              <w:t>两颗宽波束SAR，共面轨道</w:t>
            </w:r>
          </w:p>
        </w:tc>
        <w:tc>
          <w:tcPr>
            <w:tcW w:type="dxa" w:w="4479"/>
            <w:tcMar>
              <w:top w:w="90" w:type="dxa"/>
              <w:start w:w="110" w:type="dxa"/>
              <w:bottom w:w="90" w:type="dxa"/>
              <w:end w:w="110" w:type="dxa"/>
            </w:tcMar>
            <w:vAlign w:val="center"/>
            <w:shd w:fill="EEF5FA"/>
          </w:tcPr>
          <w:p>
            <w:pPr>
              <w:jc w:val="left"/>
            </w:pPr>
            <w:r>
              <w:rPr>
                <w:rFonts w:ascii="Noto Sans CJK SC" w:hAnsi="Noto Sans CJK SC" w:eastAsia="Noto Sans CJK SC"/>
                <w:sz w:val="17"/>
              </w:rPr>
              <w:t>最不利轨道布置是否使所有纬度均出现事件</w:t>
            </w:r>
          </w:p>
        </w:tc>
      </w:tr>
      <w:tr>
        <w:trPr>
          <w:cantSplit/>
        </w:trPr>
        <w:tc>
          <w:tcPr>
            <w:tcW w:type="dxa" w:w="1247"/>
            <w:tcMar>
              <w:top w:w="90" w:type="dxa"/>
              <w:start w:w="110" w:type="dxa"/>
              <w:bottom w:w="90" w:type="dxa"/>
              <w:end w:w="110" w:type="dxa"/>
            </w:tcMar>
            <w:vAlign w:val="center"/>
          </w:tcPr>
          <w:p>
            <w:pPr>
              <w:jc w:val="center"/>
            </w:pPr>
            <w:r>
              <w:rPr>
                <w:rFonts w:ascii="Noto Sans CJK SC" w:hAnsi="Noto Sans CJK SC" w:eastAsia="Noto Sans CJK SC"/>
                <w:sz w:val="17"/>
              </w:rPr>
              <w:t>B6</w:t>
            </w:r>
          </w:p>
        </w:tc>
        <w:tc>
          <w:tcPr>
            <w:tcW w:type="dxa" w:w="3402"/>
            <w:tcMar>
              <w:top w:w="90" w:type="dxa"/>
              <w:start w:w="110" w:type="dxa"/>
              <w:bottom w:w="90" w:type="dxa"/>
              <w:end w:w="110" w:type="dxa"/>
            </w:tcMar>
            <w:vAlign w:val="center"/>
          </w:tcPr>
          <w:p>
            <w:pPr>
              <w:jc w:val="left"/>
            </w:pPr>
            <w:r>
              <w:rPr>
                <w:rFonts w:ascii="Noto Sans CJK SC" w:hAnsi="Noto Sans CJK SC" w:eastAsia="Noto Sans CJK SC"/>
                <w:sz w:val="17"/>
              </w:rPr>
              <w:t>两颗EESS仅做视距可见性研究</w:t>
            </w:r>
          </w:p>
        </w:tc>
        <w:tc>
          <w:tcPr>
            <w:tcW w:type="dxa" w:w="4479"/>
            <w:tcMar>
              <w:top w:w="90" w:type="dxa"/>
              <w:start w:w="110" w:type="dxa"/>
              <w:bottom w:w="90" w:type="dxa"/>
              <w:end w:w="110" w:type="dxa"/>
            </w:tcMar>
            <w:vAlign w:val="center"/>
          </w:tcPr>
          <w:p>
            <w:pPr>
              <w:jc w:val="left"/>
            </w:pPr>
            <w:r>
              <w:rPr>
                <w:rFonts w:ascii="Noto Sans CJK SC" w:hAnsi="Noto Sans CJK SC" w:eastAsia="Noto Sans CJK SC"/>
                <w:sz w:val="17"/>
              </w:rPr>
              <w:t>不考虑天线抑制时的几何上限</w:t>
            </w:r>
          </w:p>
        </w:tc>
      </w:tr>
    </w:tbl>
    <w:p>
      <w:pPr>
        <w:spacing w:after="0"/>
      </w:pP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纬度</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B4事件</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B5事件</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B6视距事件</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40°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44</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0</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50°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55</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25</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60°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68</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185</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70°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32</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116</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296</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80°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194</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189</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459</w:t>
            </w:r>
          </w:p>
        </w:tc>
      </w:tr>
    </w:tbl>
    <w:p>
      <w:pPr>
        <w:spacing w:after="0"/>
      </w:pP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170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纬度</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B4最大/中位</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B5最大/中位</w:t>
            </w:r>
          </w:p>
        </w:tc>
        <w:tc>
          <w:tcPr>
            <w:tcW w:type="dxa" w:w="243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B6最大/中位</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40°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10.2/2.1 min</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50°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10.2/2.2 min</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6.1/3.6 min</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60°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10.0/2.3 min</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11.9/5.2 min</w:t>
            </w:r>
          </w:p>
        </w:tc>
      </w:tr>
      <w:tr>
        <w:trPr>
          <w:cantSplit/>
        </w:trPr>
        <w:tc>
          <w:tcPr>
            <w:tcW w:type="dxa" w:w="1701"/>
            <w:tcMar>
              <w:top w:w="90" w:type="dxa"/>
              <w:start w:w="110" w:type="dxa"/>
              <w:bottom w:w="90" w:type="dxa"/>
              <w:end w:w="110" w:type="dxa"/>
            </w:tcMar>
            <w:vAlign w:val="center"/>
            <w:shd w:fill="EEF5FA"/>
          </w:tcPr>
          <w:p>
            <w:pPr>
              <w:jc w:val="center"/>
            </w:pPr>
            <w:r>
              <w:rPr>
                <w:rFonts w:ascii="Noto Sans CJK SC" w:hAnsi="Noto Sans CJK SC" w:eastAsia="Noto Sans CJK SC"/>
                <w:sz w:val="17"/>
              </w:rPr>
              <w:t>70°</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7.0/1.6 min</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9.8/2.3 min</w:t>
            </w:r>
          </w:p>
        </w:tc>
        <w:tc>
          <w:tcPr>
            <w:tcW w:type="dxa" w:w="2438"/>
            <w:tcMar>
              <w:top w:w="90" w:type="dxa"/>
              <w:start w:w="110" w:type="dxa"/>
              <w:bottom w:w="90" w:type="dxa"/>
              <w:end w:w="110" w:type="dxa"/>
            </w:tcMar>
            <w:vAlign w:val="center"/>
            <w:shd w:fill="EEF5FA"/>
          </w:tcPr>
          <w:p>
            <w:pPr>
              <w:jc w:val="left"/>
            </w:pPr>
            <w:r>
              <w:rPr>
                <w:rFonts w:ascii="Noto Sans CJK SC" w:hAnsi="Noto Sans CJK SC" w:eastAsia="Noto Sans CJK SC"/>
                <w:sz w:val="17"/>
              </w:rPr>
              <w:t>13.3/5.4 min</w:t>
            </w:r>
          </w:p>
        </w:tc>
      </w:tr>
      <w:tr>
        <w:trPr>
          <w:cantSplit/>
        </w:trPr>
        <w:tc>
          <w:tcPr>
            <w:tcW w:type="dxa" w:w="1701"/>
            <w:tcMar>
              <w:top w:w="90" w:type="dxa"/>
              <w:start w:w="110" w:type="dxa"/>
              <w:bottom w:w="90" w:type="dxa"/>
              <w:end w:w="110" w:type="dxa"/>
            </w:tcMar>
            <w:vAlign w:val="center"/>
          </w:tcPr>
          <w:p>
            <w:pPr>
              <w:jc w:val="center"/>
            </w:pPr>
            <w:r>
              <w:rPr>
                <w:rFonts w:ascii="Noto Sans CJK SC" w:hAnsi="Noto Sans CJK SC" w:eastAsia="Noto Sans CJK SC"/>
                <w:sz w:val="17"/>
              </w:rPr>
              <w:t>80°</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8.2/2.3 min</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10.3/3.3 min</w:t>
            </w:r>
          </w:p>
        </w:tc>
        <w:tc>
          <w:tcPr>
            <w:tcW w:type="dxa" w:w="2438"/>
            <w:tcMar>
              <w:top w:w="90" w:type="dxa"/>
              <w:start w:w="110" w:type="dxa"/>
              <w:bottom w:w="90" w:type="dxa"/>
              <w:end w:w="110" w:type="dxa"/>
            </w:tcMar>
            <w:vAlign w:val="center"/>
          </w:tcPr>
          <w:p>
            <w:pPr>
              <w:jc w:val="left"/>
            </w:pPr>
            <w:r>
              <w:rPr>
                <w:rFonts w:ascii="Noto Sans CJK SC" w:hAnsi="Noto Sans CJK SC" w:eastAsia="Noto Sans CJK SC"/>
                <w:sz w:val="17"/>
              </w:rPr>
              <w:t>13.4/6.6 min</w:t>
            </w:r>
          </w:p>
        </w:tc>
      </w:tr>
    </w:tbl>
    <w:p>
      <w:pPr>
        <w:spacing w:after="0"/>
      </w:pPr>
    </w:p>
    <w:p>
      <w:pPr>
        <w:jc w:val="center"/>
      </w:pPr>
      <w:r>
        <w:drawing>
          <wp:inline xmlns:a="http://schemas.openxmlformats.org/drawingml/2006/main" xmlns:pic="http://schemas.openxmlformats.org/drawingml/2006/picture">
            <wp:extent cx="5688000" cy="3190830"/>
            <wp:docPr id="3" name="Picture 3"/>
            <wp:cNvGraphicFramePr>
              <a:graphicFrameLocks noChangeAspect="1"/>
            </wp:cNvGraphicFramePr>
            <a:graphic>
              <a:graphicData uri="http://schemas.openxmlformats.org/drawingml/2006/picture">
                <pic:pic>
                  <pic:nvPicPr>
                    <pic:cNvPr id="0" name="m2305_study_b_events.png"/>
                    <pic:cNvPicPr/>
                  </pic:nvPicPr>
                  <pic:blipFill>
                    <a:blip r:embed="rId13"/>
                    <a:stretch>
                      <a:fillRect/>
                    </a:stretch>
                  </pic:blipFill>
                  <pic:spPr>
                    <a:xfrm>
                      <a:off x="0" y="0"/>
                      <a:ext cx="5688000" cy="3190830"/>
                    </a:xfrm>
                    <a:prstGeom prst="rect"/>
                  </pic:spPr>
                </pic:pic>
              </a:graphicData>
            </a:graphic>
          </wp:inline>
        </w:drawing>
      </w:r>
    </w:p>
    <w:p>
      <w:pPr>
        <w:spacing w:before="0" w:after="140" w:line="264" w:lineRule="auto"/>
        <w:jc w:val="center"/>
      </w:pPr>
      <w:r>
        <w:rPr>
          <w:rFonts w:ascii="Noto Sans CJK SC" w:hAnsi="Noto Sans CJK SC" w:eastAsia="Noto Sans CJK SC"/>
          <w:i/>
          <w:color w:val="666666"/>
          <w:sz w:val="18"/>
        </w:rPr>
        <w:t>图3  M.2305-1 Study B在120天内的事件计数（B6为视距几何上限，并非所有事件都超过−129 dBW）</w:t>
      </w:r>
    </w:p>
    <w:p>
      <w:pPr>
        <w:keepNext w:val="0"/>
        <w:spacing w:before="0" w:after="120" w:line="348" w:lineRule="auto"/>
        <w:ind w:firstLine="420"/>
      </w:pPr>
      <w:r>
        <w:rPr>
          <w:rFonts w:ascii="Noto Sans CJK SC" w:hAnsi="Noto Sans CJK SC" w:eastAsia="Noto Sans CJK SC"/>
        </w:rPr>
        <w:t>B4表明，正交宽波束SAR的强—强事件主要集中在70°以上。B5表明，如果两颗宽波束传感器近共面，所有研究纬度都可能发生事件，且单次最长约10 min。因此，在考虑天线抑制的场景中，B5是报告认定的最不利配置。B6说明纯视距重叠从50°起就可能很频繁，但视距存在并不等价于接收功率一定超过强脉冲门限。</w:t>
      </w:r>
    </w:p>
    <w:p>
      <w:pPr>
        <w:pStyle w:val="Heading2"/>
        <w:keepNext/>
        <w:spacing w:before="220" w:after="100"/>
      </w:pPr>
      <w:r>
        <w:rPr>
          <w:rFonts w:ascii="Noto Serif CJK SC" w:hAnsi="Noto Serif CJK SC" w:eastAsia="Noto Serif CJK SC"/>
          <w:b/>
          <w:color w:val="1F4E78"/>
          <w:sz w:val="26"/>
        </w:rPr>
        <w:t>22. 附件2：单颗分别合格，聚合后仍可能超限</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55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系统</w:t>
            </w:r>
          </w:p>
        </w:tc>
        <w:tc>
          <w:tcPr>
            <w:tcW w:type="dxa" w:w="311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单独PDC/结果</w:t>
            </w:r>
          </w:p>
        </w:tc>
        <w:tc>
          <w:tcPr>
            <w:tcW w:type="dxa" w:w="311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单独劣化</w:t>
            </w:r>
          </w:p>
        </w:tc>
      </w:tr>
      <w:tr>
        <w:trPr>
          <w:cantSplit/>
        </w:trPr>
        <w:tc>
          <w:tcPr>
            <w:tcW w:type="dxa" w:w="2551"/>
            <w:tcMar>
              <w:top w:w="90" w:type="dxa"/>
              <w:start w:w="110" w:type="dxa"/>
              <w:bottom w:w="90" w:type="dxa"/>
              <w:end w:w="110" w:type="dxa"/>
            </w:tcMar>
            <w:vAlign w:val="center"/>
          </w:tcPr>
          <w:p>
            <w:pPr>
              <w:jc w:val="center"/>
            </w:pPr>
            <w:r>
              <w:rPr>
                <w:rFonts w:ascii="Noto Sans CJK SC" w:hAnsi="Noto Sans CJK SC" w:eastAsia="Noto Sans CJK SC"/>
                <w:sz w:val="17"/>
              </w:rPr>
              <w:t>SAR1</w:t>
            </w:r>
          </w:p>
        </w:tc>
        <w:tc>
          <w:tcPr>
            <w:tcW w:type="dxa" w:w="3118"/>
            <w:tcMar>
              <w:top w:w="90" w:type="dxa"/>
              <w:start w:w="110" w:type="dxa"/>
              <w:bottom w:w="90" w:type="dxa"/>
              <w:end w:w="110" w:type="dxa"/>
            </w:tcMar>
            <w:vAlign w:val="center"/>
          </w:tcPr>
          <w:p>
            <w:pPr>
              <w:jc w:val="left"/>
            </w:pPr>
            <w:r>
              <w:rPr>
                <w:rFonts w:ascii="Noto Sans CJK SC" w:hAnsi="Noto Sans CJK SC" w:eastAsia="Noto Sans CJK SC"/>
                <w:sz w:val="17"/>
              </w:rPr>
              <w:t>PDC≈0.00225</w:t>
            </w:r>
          </w:p>
        </w:tc>
        <w:tc>
          <w:tcPr>
            <w:tcW w:type="dxa" w:w="3118"/>
            <w:tcMar>
              <w:top w:w="90" w:type="dxa"/>
              <w:start w:w="110" w:type="dxa"/>
              <w:bottom w:w="90" w:type="dxa"/>
              <w:end w:w="110" w:type="dxa"/>
            </w:tcMar>
            <w:vAlign w:val="center"/>
          </w:tcPr>
          <w:p>
            <w:pPr>
              <w:jc w:val="left"/>
            </w:pPr>
            <w:r>
              <w:rPr>
                <w:rFonts w:ascii="Noto Sans CJK SC" w:hAnsi="Noto Sans CJK SC" w:eastAsia="Noto Sans CJK SC"/>
                <w:sz w:val="17"/>
              </w:rPr>
              <w:t>0.019 dB</w:t>
            </w:r>
          </w:p>
        </w:tc>
      </w:tr>
      <w:tr>
        <w:trPr>
          <w:cantSplit/>
        </w:trPr>
        <w:tc>
          <w:tcPr>
            <w:tcW w:type="dxa" w:w="2551"/>
            <w:tcMar>
              <w:top w:w="90" w:type="dxa"/>
              <w:start w:w="110" w:type="dxa"/>
              <w:bottom w:w="90" w:type="dxa"/>
              <w:end w:w="110" w:type="dxa"/>
            </w:tcMar>
            <w:vAlign w:val="center"/>
            <w:shd w:fill="EEF5FA"/>
          </w:tcPr>
          <w:p>
            <w:pPr>
              <w:jc w:val="center"/>
            </w:pPr>
            <w:r>
              <w:rPr>
                <w:rFonts w:ascii="Noto Sans CJK SC" w:hAnsi="Noto Sans CJK SC" w:eastAsia="Noto Sans CJK SC"/>
                <w:sz w:val="17"/>
              </w:rPr>
              <w:t>假设SARA</w:t>
            </w:r>
          </w:p>
        </w:tc>
        <w:tc>
          <w:tcPr>
            <w:tcW w:type="dxa" w:w="3118"/>
            <w:tcMar>
              <w:top w:w="90" w:type="dxa"/>
              <w:start w:w="110" w:type="dxa"/>
              <w:bottom w:w="90" w:type="dxa"/>
              <w:end w:w="110" w:type="dxa"/>
            </w:tcMar>
            <w:vAlign w:val="center"/>
            <w:shd w:fill="EEF5FA"/>
          </w:tcPr>
          <w:p>
            <w:pPr>
              <w:jc w:val="left"/>
            </w:pPr>
            <w:r>
              <w:rPr>
                <w:rFonts w:ascii="Noto Sans CJK SC" w:hAnsi="Noto Sans CJK SC" w:eastAsia="Noto Sans CJK SC"/>
                <w:sz w:val="17"/>
              </w:rPr>
              <w:t>PDC≈0.0223</w:t>
            </w:r>
          </w:p>
        </w:tc>
        <w:tc>
          <w:tcPr>
            <w:tcW w:type="dxa" w:w="3118"/>
            <w:tcMar>
              <w:top w:w="90" w:type="dxa"/>
              <w:start w:w="110" w:type="dxa"/>
              <w:bottom w:w="90" w:type="dxa"/>
              <w:end w:w="110" w:type="dxa"/>
            </w:tcMar>
            <w:vAlign w:val="center"/>
            <w:shd w:fill="EEF5FA"/>
          </w:tcPr>
          <w:p>
            <w:pPr>
              <w:jc w:val="left"/>
            </w:pPr>
            <w:r>
              <w:rPr>
                <w:rFonts w:ascii="Noto Sans CJK SC" w:hAnsi="Noto Sans CJK SC" w:eastAsia="Noto Sans CJK SC"/>
                <w:sz w:val="17"/>
              </w:rPr>
              <w:t>0.196 dB</w:t>
            </w:r>
          </w:p>
        </w:tc>
      </w:tr>
      <w:tr>
        <w:trPr>
          <w:cantSplit/>
        </w:trPr>
        <w:tc>
          <w:tcPr>
            <w:tcW w:type="dxa" w:w="2551"/>
            <w:tcMar>
              <w:top w:w="90" w:type="dxa"/>
              <w:start w:w="110" w:type="dxa"/>
              <w:bottom w:w="90" w:type="dxa"/>
              <w:end w:w="110" w:type="dxa"/>
            </w:tcMar>
            <w:vAlign w:val="center"/>
          </w:tcPr>
          <w:p>
            <w:pPr>
              <w:jc w:val="center"/>
            </w:pPr>
            <w:r>
              <w:rPr>
                <w:rFonts w:ascii="Noto Sans CJK SC" w:hAnsi="Noto Sans CJK SC" w:eastAsia="Noto Sans CJK SC"/>
                <w:sz w:val="17"/>
              </w:rPr>
              <w:t>同时作用</w:t>
            </w:r>
          </w:p>
        </w:tc>
        <w:tc>
          <w:tcPr>
            <w:tcW w:type="dxa" w:w="3118"/>
            <w:tcMar>
              <w:top w:w="90" w:type="dxa"/>
              <w:start w:w="110" w:type="dxa"/>
              <w:bottom w:w="90" w:type="dxa"/>
              <w:end w:w="110" w:type="dxa"/>
            </w:tcMar>
            <w:vAlign w:val="center"/>
          </w:tcPr>
          <w:p>
            <w:pPr>
              <w:jc w:val="left"/>
            </w:pPr>
            <w:r>
              <w:rPr>
                <w:rFonts w:ascii="Noto Sans CJK SC" w:hAnsi="Noto Sans CJK SC" w:eastAsia="Noto Sans CJK SC"/>
                <w:sz w:val="17"/>
              </w:rPr>
              <w:t>按M.2030聚合</w:t>
            </w:r>
          </w:p>
        </w:tc>
        <w:tc>
          <w:tcPr>
            <w:tcW w:type="dxa" w:w="3118"/>
            <w:tcMar>
              <w:top w:w="90" w:type="dxa"/>
              <w:start w:w="110" w:type="dxa"/>
              <w:bottom w:w="90" w:type="dxa"/>
              <w:end w:w="110" w:type="dxa"/>
            </w:tcMar>
            <w:vAlign w:val="center"/>
          </w:tcPr>
          <w:p>
            <w:pPr>
              <w:jc w:val="left"/>
            </w:pPr>
            <w:r>
              <w:rPr>
                <w:rFonts w:ascii="Noto Sans CJK SC" w:hAnsi="Noto Sans CJK SC" w:eastAsia="Noto Sans CJK SC"/>
                <w:sz w:val="17"/>
              </w:rPr>
              <w:t>0.215 dB</w:t>
            </w:r>
          </w:p>
        </w:tc>
      </w:tr>
    </w:tbl>
    <w:p>
      <w:pPr>
        <w:spacing w:after="0"/>
      </w:pPr>
    </w:p>
    <w:p>
      <w:pPr>
        <w:jc w:val="center"/>
      </w:pPr>
      <w:r>
        <w:drawing>
          <wp:inline xmlns:a="http://schemas.openxmlformats.org/drawingml/2006/main" xmlns:pic="http://schemas.openxmlformats.org/drawingml/2006/picture">
            <wp:extent cx="5148000" cy="2882880"/>
            <wp:docPr id="4" name="Picture 4"/>
            <wp:cNvGraphicFramePr>
              <a:graphicFrameLocks noChangeAspect="1"/>
            </wp:cNvGraphicFramePr>
            <a:graphic>
              <a:graphicData uri="http://schemas.openxmlformats.org/drawingml/2006/picture">
                <pic:pic>
                  <pic:nvPicPr>
                    <pic:cNvPr id="0" name="m2305_annex2_degradation.png"/>
                    <pic:cNvPicPr/>
                  </pic:nvPicPr>
                  <pic:blipFill>
                    <a:blip r:embed="rId14"/>
                    <a:stretch>
                      <a:fillRect/>
                    </a:stretch>
                  </pic:blipFill>
                  <pic:spPr>
                    <a:xfrm>
                      <a:off x="0" y="0"/>
                      <a:ext cx="5148000" cy="2882880"/>
                    </a:xfrm>
                    <a:prstGeom prst="rect"/>
                  </pic:spPr>
                </pic:pic>
              </a:graphicData>
            </a:graphic>
          </wp:inline>
        </w:drawing>
      </w:r>
    </w:p>
    <w:p>
      <w:pPr>
        <w:spacing w:before="0" w:after="140" w:line="264" w:lineRule="auto"/>
        <w:jc w:val="center"/>
      </w:pPr>
      <w:r>
        <w:rPr>
          <w:rFonts w:ascii="Noto Sans CJK SC" w:hAnsi="Noto Sans CJK SC" w:eastAsia="Noto Sans CJK SC"/>
          <w:i/>
          <w:color w:val="666666"/>
          <w:sz w:val="18"/>
        </w:rPr>
        <w:t>图4  M.2305-1附件2示例：两个系统单独均低于0.2 dB，但同时作用达到0.215 dB</w:t>
      </w:r>
    </w:p>
    <w:p>
      <w:pPr>
        <w:keepNext w:val="0"/>
        <w:spacing w:before="0" w:after="120" w:line="348" w:lineRule="auto"/>
        <w:ind w:firstLine="420"/>
      </w:pPr>
      <w:r>
        <w:rPr>
          <w:rFonts w:ascii="Noto Sans CJK SC" w:hAnsi="Noto Sans CJK SC" w:eastAsia="Noto Sans CJK SC"/>
        </w:rPr>
        <w:t>这个例子不是说所有SAR劣化可以永远简单相加，而是针对报告所采用的硬限幅/强脉冲模型，证明新增系统必须在“当前累计脉冲环境”上评估。因此，项目评审不能逐颗卫星分别签字后就认定星座整体合格。</w:t>
      </w:r>
    </w:p>
    <w:p>
      <w:pPr>
        <w:spacing w:before="0" w:after="100" w:line="288" w:lineRule="auto"/>
        <w:ind w:left="283" w:right="283"/>
      </w:pPr>
      <w:r>
        <w:rPr>
          <w:rFonts w:ascii="Noto Sans CJK SC" w:hAnsi="Noto Sans CJK SC" w:eastAsia="Noto Sans CJK SC"/>
          <w:b/>
          <w:color w:val="666666"/>
          <w:sz w:val="17"/>
        </w:rPr>
        <w:t>原文依据：</w:t>
      </w:r>
      <w:r>
        <w:rPr>
          <w:rFonts w:ascii="Noto Sans CJK SC" w:hAnsi="Noto Sans CJK SC" w:eastAsia="Noto Sans CJK SC"/>
          <w:color w:val="666666"/>
          <w:sz w:val="17"/>
        </w:rPr>
        <w:t>M.2305-1，附件2，PDF第20–23页。</w:t>
      </w:r>
    </w:p>
    <w:p>
      <w:pPr>
        <w:pStyle w:val="Heading2"/>
        <w:keepNext/>
        <w:spacing w:before="220" w:after="100"/>
      </w:pPr>
      <w:r>
        <w:rPr>
          <w:rFonts w:ascii="Noto Serif CJK SC" w:hAnsi="Noto Serif CJK SC" w:eastAsia="Noto Serif CJK SC"/>
          <w:b/>
          <w:color w:val="1F4E78"/>
          <w:sz w:val="26"/>
        </w:rPr>
        <w:t>23. M.2305-1得出了什么结论</w:t>
      </w:r>
    </w:p>
    <w:p>
      <w:pPr>
        <w:pStyle w:val="ListBullet"/>
        <w:spacing w:before="0" w:after="60" w:line="317" w:lineRule="auto"/>
        <w:ind w:left="425" w:hanging="255"/>
      </w:pPr>
      <w:r>
        <w:rPr>
          <w:rFonts w:ascii="Noto Sans CJK SC" w:hAnsi="Noto Sans CJK SC" w:eastAsia="Noto Sans CJK SC"/>
        </w:rPr>
        <w:t>多个EESS有源传感器同时照射同一RNSS接收机的事件确实可能发生，其次数和持续时间强烈依赖纬度、轨道面关系和波束宽度。</w:t>
      </w:r>
    </w:p>
    <w:p>
      <w:pPr>
        <w:pStyle w:val="ListBullet"/>
        <w:spacing w:before="0" w:after="60" w:line="317" w:lineRule="auto"/>
        <w:ind w:left="425" w:hanging="255"/>
      </w:pPr>
      <w:r>
        <w:rPr>
          <w:rFonts w:ascii="Noto Sans CJK SC" w:hAnsi="Noto Sans CJK SC" w:eastAsia="Noto Sans CJK SC"/>
        </w:rPr>
        <w:t>正交太阳同步轨道具有较大经度分离，事件更集中于高纬；非正交或共面轨道可能更不利。</w:t>
      </w:r>
    </w:p>
    <w:p>
      <w:pPr>
        <w:pStyle w:val="ListBullet"/>
        <w:spacing w:before="0" w:after="60" w:line="317" w:lineRule="auto"/>
        <w:ind w:left="425" w:hanging="255"/>
      </w:pPr>
      <w:r>
        <w:rPr>
          <w:rFonts w:ascii="Noto Sans CJK SC" w:hAnsi="Noto Sans CJK SC" w:eastAsia="Noto Sans CJK SC"/>
        </w:rPr>
        <w:t>散射计旋转波束会在一次共同过境中形成多次短事件，因此必须区分“扫描事件数”和“轨道过境数”。</w:t>
      </w:r>
    </w:p>
    <w:p>
      <w:pPr>
        <w:pStyle w:val="ListBullet"/>
        <w:spacing w:before="0" w:after="60" w:line="317" w:lineRule="auto"/>
        <w:ind w:left="425" w:hanging="255"/>
      </w:pPr>
      <w:r>
        <w:rPr>
          <w:rFonts w:ascii="Noto Sans CJK SC" w:hAnsi="Noto Sans CJK SC" w:eastAsia="Noto Sans CJK SC"/>
        </w:rPr>
        <w:t>真实评估必须使用实际三维天线方向图、实际轨道、运行占空比和照射区域。</w:t>
      </w:r>
    </w:p>
    <w:p>
      <w:pPr>
        <w:pStyle w:val="ListBullet"/>
        <w:spacing w:before="0" w:after="60" w:line="317" w:lineRule="auto"/>
        <w:ind w:left="425" w:hanging="255"/>
      </w:pPr>
      <w:r>
        <w:rPr>
          <w:rFonts w:ascii="Noto Sans CJK SC" w:hAnsi="Noto Sans CJK SC" w:eastAsia="Noto Sans CJK SC"/>
        </w:rPr>
        <w:t>M.2305只识别事件潜势；最终量化应使用M.2220和M.2030。</w:t>
      </w:r>
    </w:p>
    <w:p>
      <w:pPr>
        <w:pStyle w:val="ListBullet"/>
        <w:spacing w:before="0" w:after="60" w:line="317" w:lineRule="auto"/>
        <w:ind w:left="425" w:hanging="255"/>
      </w:pPr>
      <w:r>
        <w:rPr>
          <w:rFonts w:ascii="Noto Sans CJK SC" w:hAnsi="Noto Sans CJK SC" w:eastAsia="Noto Sans CJK SC"/>
        </w:rPr>
        <w:t>即使各单颗SAR独立评估均合格，同时作用仍可能使累积劣化超限。</w:t>
      </w:r>
    </w:p>
    <w:p>
      <w:pPr>
        <w:pStyle w:val="Heading2"/>
        <w:keepNext/>
        <w:spacing w:before="220" w:after="100"/>
      </w:pPr>
      <w:r>
        <w:rPr>
          <w:rFonts w:ascii="Noto Serif CJK SC" w:hAnsi="Noto Serif CJK SC" w:eastAsia="Noto Serif CJK SC"/>
          <w:b/>
          <w:color w:val="1F4E78"/>
          <w:sz w:val="26"/>
        </w:rPr>
        <w:t>24. M.2305-1的局限及项目使用注意事项</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381"/>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局限</w:t>
            </w:r>
          </w:p>
        </w:tc>
        <w:tc>
          <w:tcPr>
            <w:tcW w:type="dxa" w:w="2948"/>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可能造成的偏差</w:t>
            </w:r>
          </w:p>
        </w:tc>
        <w:tc>
          <w:tcPr>
            <w:tcW w:type="dxa" w:w="351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工程补充</w:t>
            </w:r>
          </w:p>
        </w:tc>
      </w:tr>
      <w:tr>
        <w:trPr>
          <w:cantSplit/>
        </w:trPr>
        <w:tc>
          <w:tcPr>
            <w:tcW w:type="dxa" w:w="2381"/>
            <w:tcMar>
              <w:top w:w="90" w:type="dxa"/>
              <w:start w:w="110" w:type="dxa"/>
              <w:bottom w:w="90" w:type="dxa"/>
              <w:end w:w="110" w:type="dxa"/>
            </w:tcMar>
            <w:vAlign w:val="center"/>
          </w:tcPr>
          <w:p>
            <w:pPr>
              <w:jc w:val="center"/>
            </w:pPr>
            <w:r>
              <w:rPr>
                <w:rFonts w:ascii="Noto Sans CJK SC" w:hAnsi="Noto Sans CJK SC" w:eastAsia="Noto Sans CJK SC"/>
                <w:sz w:val="16"/>
              </w:rPr>
              <w:t>只重点研究两颗传感器</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无法直接给出三颗及以上的联合概率</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6"/>
              </w:rPr>
              <w:t>用全部规划/在轨星历开展多源Monte Carlo或事件扫描</w:t>
            </w:r>
          </w:p>
        </w:tc>
      </w:tr>
      <w:tr>
        <w:trPr>
          <w:cantSplit/>
        </w:trPr>
        <w:tc>
          <w:tcPr>
            <w:tcW w:type="dxa" w:w="2381"/>
            <w:tcMar>
              <w:top w:w="90" w:type="dxa"/>
              <w:start w:w="110" w:type="dxa"/>
              <w:bottom w:w="90" w:type="dxa"/>
              <w:end w:w="110" w:type="dxa"/>
            </w:tcMar>
            <w:vAlign w:val="center"/>
            <w:shd w:fill="EEF5FA"/>
          </w:tcPr>
          <w:p>
            <w:pPr>
              <w:jc w:val="center"/>
            </w:pPr>
            <w:r>
              <w:rPr>
                <w:rFonts w:ascii="Noto Sans CJK SC" w:hAnsi="Noto Sans CJK SC" w:eastAsia="Noto Sans CJK SC"/>
                <w:sz w:val="16"/>
              </w:rPr>
              <w:t>仅研究18:00和12:00等轨道关系</w:t>
            </w:r>
          </w:p>
        </w:tc>
        <w:tc>
          <w:tcPr>
            <w:tcW w:type="dxa" w:w="2948"/>
            <w:tcMar>
              <w:top w:w="90" w:type="dxa"/>
              <w:start w:w="110" w:type="dxa"/>
              <w:bottom w:w="90" w:type="dxa"/>
              <w:end w:w="110" w:type="dxa"/>
            </w:tcMar>
            <w:vAlign w:val="center"/>
            <w:shd w:fill="EEF5FA"/>
          </w:tcPr>
          <w:p>
            <w:pPr>
              <w:jc w:val="left"/>
            </w:pPr>
            <w:r>
              <w:rPr>
                <w:rFonts w:ascii="Noto Sans CJK SC" w:hAnsi="Noto Sans CJK SC" w:eastAsia="Noto Sans CJK SC"/>
                <w:sz w:val="16"/>
              </w:rPr>
              <w:t>非正交轨道可能更不利</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6"/>
              </w:rPr>
              <w:t>覆盖所有轨道面和地方时组合</w:t>
            </w:r>
          </w:p>
        </w:tc>
      </w:tr>
      <w:tr>
        <w:trPr>
          <w:cantSplit/>
        </w:trPr>
        <w:tc>
          <w:tcPr>
            <w:tcW w:type="dxa" w:w="2381"/>
            <w:tcMar>
              <w:top w:w="90" w:type="dxa"/>
              <w:start w:w="110" w:type="dxa"/>
              <w:bottom w:w="90" w:type="dxa"/>
              <w:end w:w="110" w:type="dxa"/>
            </w:tcMar>
            <w:vAlign w:val="center"/>
          </w:tcPr>
          <w:p>
            <w:pPr>
              <w:jc w:val="center"/>
            </w:pPr>
            <w:r>
              <w:rPr>
                <w:rFonts w:ascii="Noto Sans CJK SC" w:hAnsi="Noto Sans CJK SC" w:eastAsia="Noto Sans CJK SC"/>
                <w:sz w:val="16"/>
              </w:rPr>
              <w:t>天线由两个主平面切面合成</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非主平面旁瓣可能不准确</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6"/>
              </w:rPr>
              <w:t>导入实测或全波三维方向图</w:t>
            </w:r>
          </w:p>
        </w:tc>
      </w:tr>
      <w:tr>
        <w:trPr>
          <w:cantSplit/>
        </w:trPr>
        <w:tc>
          <w:tcPr>
            <w:tcW w:type="dxa" w:w="2381"/>
            <w:tcMar>
              <w:top w:w="90" w:type="dxa"/>
              <w:start w:w="110" w:type="dxa"/>
              <w:bottom w:w="90" w:type="dxa"/>
              <w:end w:w="110" w:type="dxa"/>
            </w:tcMar>
            <w:vAlign w:val="center"/>
            <w:shd w:fill="EEF5FA"/>
          </w:tcPr>
          <w:p>
            <w:pPr>
              <w:jc w:val="center"/>
            </w:pPr>
            <w:r>
              <w:rPr>
                <w:rFonts w:ascii="Noto Sans CJK SC" w:hAnsi="Noto Sans CJK SC" w:eastAsia="Noto Sans CJK SC"/>
                <w:sz w:val="16"/>
              </w:rPr>
              <w:t>Study A未计实际开机率和海洋禁发</w:t>
            </w:r>
          </w:p>
        </w:tc>
        <w:tc>
          <w:tcPr>
            <w:tcW w:type="dxa" w:w="2948"/>
            <w:tcMar>
              <w:top w:w="90" w:type="dxa"/>
              <w:start w:w="110" w:type="dxa"/>
              <w:bottom w:w="90" w:type="dxa"/>
              <w:end w:w="110" w:type="dxa"/>
            </w:tcMar>
            <w:vAlign w:val="center"/>
            <w:shd w:fill="EEF5FA"/>
          </w:tcPr>
          <w:p>
            <w:pPr>
              <w:jc w:val="left"/>
            </w:pPr>
            <w:r>
              <w:rPr>
                <w:rFonts w:ascii="Noto Sans CJK SC" w:hAnsi="Noto Sans CJK SC" w:eastAsia="Noto Sans CJK SC"/>
                <w:sz w:val="16"/>
              </w:rPr>
              <w:t>事件数可能偏保守</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6"/>
              </w:rPr>
              <w:t>加入任务计划、成像区域和模式调度</w:t>
            </w:r>
          </w:p>
        </w:tc>
      </w:tr>
      <w:tr>
        <w:trPr>
          <w:cantSplit/>
        </w:trPr>
        <w:tc>
          <w:tcPr>
            <w:tcW w:type="dxa" w:w="2381"/>
            <w:tcMar>
              <w:top w:w="90" w:type="dxa"/>
              <w:start w:w="110" w:type="dxa"/>
              <w:bottom w:w="90" w:type="dxa"/>
              <w:end w:w="110" w:type="dxa"/>
            </w:tcMar>
            <w:vAlign w:val="center"/>
          </w:tcPr>
          <w:p>
            <w:pPr>
              <w:jc w:val="center"/>
            </w:pPr>
            <w:r>
              <w:rPr>
                <w:rFonts w:ascii="Noto Sans CJK SC" w:hAnsi="Noto Sans CJK SC" w:eastAsia="Noto Sans CJK SC"/>
                <w:sz w:val="16"/>
              </w:rPr>
              <w:t>−129 dBW是特定门限</w:t>
            </w:r>
          </w:p>
        </w:tc>
        <w:tc>
          <w:tcPr>
            <w:tcW w:type="dxa" w:w="2948"/>
            <w:tcMar>
              <w:top w:w="90" w:type="dxa"/>
              <w:start w:w="110" w:type="dxa"/>
              <w:bottom w:w="90" w:type="dxa"/>
              <w:end w:w="110" w:type="dxa"/>
            </w:tcMar>
            <w:vAlign w:val="center"/>
          </w:tcPr>
          <w:p>
            <w:pPr>
              <w:jc w:val="left"/>
            </w:pPr>
            <w:r>
              <w:rPr>
                <w:rFonts w:ascii="Noto Sans CJK SC" w:hAnsi="Noto Sans CJK SC" w:eastAsia="Noto Sans CJK SC"/>
                <w:sz w:val="16"/>
              </w:rPr>
              <w:t>不适用于所有RNSS接收机</w:t>
            </w:r>
          </w:p>
        </w:tc>
        <w:tc>
          <w:tcPr>
            <w:tcW w:type="dxa" w:w="3515"/>
            <w:tcMar>
              <w:top w:w="90" w:type="dxa"/>
              <w:start w:w="110" w:type="dxa"/>
              <w:bottom w:w="90" w:type="dxa"/>
              <w:end w:w="110" w:type="dxa"/>
            </w:tcMar>
            <w:vAlign w:val="center"/>
          </w:tcPr>
          <w:p>
            <w:pPr>
              <w:jc w:val="left"/>
            </w:pPr>
            <w:r>
              <w:rPr>
                <w:rFonts w:ascii="Noto Sans CJK SC" w:hAnsi="Noto Sans CJK SC" w:eastAsia="Noto Sans CJK SC"/>
                <w:sz w:val="16"/>
              </w:rPr>
              <w:t>用实测饱和/熄减门限替换</w:t>
            </w:r>
          </w:p>
        </w:tc>
      </w:tr>
      <w:tr>
        <w:trPr>
          <w:cantSplit/>
        </w:trPr>
        <w:tc>
          <w:tcPr>
            <w:tcW w:type="dxa" w:w="2381"/>
            <w:tcMar>
              <w:top w:w="90" w:type="dxa"/>
              <w:start w:w="110" w:type="dxa"/>
              <w:bottom w:w="90" w:type="dxa"/>
              <w:end w:w="110" w:type="dxa"/>
            </w:tcMar>
            <w:vAlign w:val="center"/>
            <w:shd w:fill="EEF5FA"/>
          </w:tcPr>
          <w:p>
            <w:pPr>
              <w:jc w:val="center"/>
            </w:pPr>
            <w:r>
              <w:rPr>
                <w:rFonts w:ascii="Noto Sans CJK SC" w:hAnsi="Noto Sans CJK SC" w:eastAsia="Noto Sans CJK SC"/>
                <w:sz w:val="16"/>
              </w:rPr>
              <w:t>主要统计强—强事件</w:t>
            </w:r>
          </w:p>
        </w:tc>
        <w:tc>
          <w:tcPr>
            <w:tcW w:type="dxa" w:w="2948"/>
            <w:tcMar>
              <w:top w:w="90" w:type="dxa"/>
              <w:start w:w="110" w:type="dxa"/>
              <w:bottom w:w="90" w:type="dxa"/>
              <w:end w:w="110" w:type="dxa"/>
            </w:tcMar>
            <w:vAlign w:val="center"/>
            <w:shd w:fill="EEF5FA"/>
          </w:tcPr>
          <w:p>
            <w:pPr>
              <w:jc w:val="left"/>
            </w:pPr>
            <w:r>
              <w:rPr>
                <w:rFonts w:ascii="Noto Sans CJK SC" w:hAnsi="Noto Sans CJK SC" w:eastAsia="Noto Sans CJK SC"/>
                <w:sz w:val="16"/>
              </w:rPr>
              <w:t>弱—弱、强—弱贡献可能遗漏</w:t>
            </w:r>
          </w:p>
        </w:tc>
        <w:tc>
          <w:tcPr>
            <w:tcW w:type="dxa" w:w="3515"/>
            <w:tcMar>
              <w:top w:w="90" w:type="dxa"/>
              <w:start w:w="110" w:type="dxa"/>
              <w:bottom w:w="90" w:type="dxa"/>
              <w:end w:w="110" w:type="dxa"/>
            </w:tcMar>
            <w:vAlign w:val="center"/>
            <w:shd w:fill="EEF5FA"/>
          </w:tcPr>
          <w:p>
            <w:pPr>
              <w:jc w:val="left"/>
            </w:pPr>
            <w:r>
              <w:rPr>
                <w:rFonts w:ascii="Noto Sans CJK SC" w:hAnsi="Noto Sans CJK SC" w:eastAsia="Noto Sans CJK SC"/>
                <w:sz w:val="16"/>
              </w:rPr>
              <w:t>逐时刻同时计算PDC与RI</w:t>
            </w:r>
          </w:p>
        </w:tc>
      </w:tr>
    </w:tbl>
    <w:p>
      <w:pPr>
        <w:spacing w:after="0"/>
      </w:pPr>
    </w:p>
    <w:p>
      <w:r>
        <w:br w:type="page"/>
      </w:r>
    </w:p>
    <w:p>
      <w:pPr>
        <w:pStyle w:val="Heading1"/>
        <w:keepNext/>
        <w:spacing w:before="300" w:after="160"/>
      </w:pPr>
      <w:r>
        <w:rPr>
          <w:rFonts w:ascii="Noto Serif CJK SC" w:hAnsi="Noto Serif CJK SC" w:eastAsia="Noto Serif CJK SC"/>
          <w:b/>
          <w:color w:val="1F4E78"/>
          <w:sz w:val="32"/>
        </w:rPr>
        <w:t>第三部分：两份报告怎样组合用于详细分析</w:t>
      </w:r>
    </w:p>
    <w:p>
      <w:pPr>
        <w:pStyle w:val="Heading2"/>
        <w:keepNext/>
        <w:spacing w:before="220" w:after="100"/>
      </w:pPr>
      <w:r>
        <w:rPr>
          <w:rFonts w:ascii="Noto Serif CJK SC" w:hAnsi="Noto Serif CJK SC" w:eastAsia="Noto Serif CJK SC"/>
          <w:b/>
          <w:color w:val="1F4E78"/>
          <w:sz w:val="26"/>
        </w:rPr>
        <w:t>25. 一套可执行的端到端流程</w:t>
      </w:r>
    </w:p>
    <w:p>
      <w:pPr>
        <w:pStyle w:val="ListNumber"/>
        <w:spacing w:before="0" w:after="60" w:line="317" w:lineRule="auto"/>
        <w:ind w:left="425" w:hanging="255"/>
      </w:pPr>
      <w:r>
        <w:rPr>
          <w:rFonts w:ascii="Noto Sans CJK SC" w:hAnsi="Noto Sans CJK SC" w:eastAsia="Noto Sans CJK SC"/>
        </w:rPr>
        <w:t>建立所有脉冲源清单：地面雷达、机载源、星载SAR/散射计及当前连续干扰基线。</w:t>
      </w:r>
    </w:p>
    <w:p>
      <w:pPr>
        <w:pStyle w:val="ListNumber"/>
        <w:spacing w:before="0" w:after="60" w:line="317" w:lineRule="auto"/>
        <w:ind w:left="425" w:hanging="255"/>
      </w:pPr>
      <w:r>
        <w:rPr>
          <w:rFonts w:ascii="Noto Sans CJK SC" w:hAnsi="Noto Sans CJK SC" w:eastAsia="Noto Sans CJK SC"/>
        </w:rPr>
        <w:t>为每个源建立发射功率、实测频谱、脉宽、PRF、天线三维方向图、位置/轨道和工作时序。</w:t>
      </w:r>
    </w:p>
    <w:p>
      <w:pPr>
        <w:pStyle w:val="ListNumber"/>
        <w:spacing w:before="0" w:after="60" w:line="317" w:lineRule="auto"/>
        <w:ind w:left="425" w:hanging="255"/>
      </w:pPr>
      <w:r>
        <w:rPr>
          <w:rFonts w:ascii="Noto Sans CJK SC" w:hAnsi="Noto Sans CJK SC" w:eastAsia="Noto Sans CJK SC"/>
        </w:rPr>
        <w:t>建立RNSS接收机模型：天线、RF/IF滤波器、饱和/熄减门限、恢复时间、NLIM、AGC/ADC和跟踪模式。</w:t>
      </w:r>
    </w:p>
    <w:p>
      <w:pPr>
        <w:pStyle w:val="ListNumber"/>
        <w:spacing w:before="0" w:after="60" w:line="317" w:lineRule="auto"/>
        <w:ind w:left="425" w:hanging="255"/>
      </w:pPr>
      <w:r>
        <w:rPr>
          <w:rFonts w:ascii="Noto Sans CJK SC" w:hAnsi="Noto Sans CJK SC" w:eastAsia="Noto Sans CJK SC"/>
        </w:rPr>
        <w:t>按M.2305思路做轨道—姿态—波束动态仿真，得到每个源的接收功率时间序列。</w:t>
      </w:r>
    </w:p>
    <w:p>
      <w:pPr>
        <w:pStyle w:val="ListNumber"/>
        <w:spacing w:before="0" w:after="60" w:line="317" w:lineRule="auto"/>
        <w:ind w:left="425" w:hanging="255"/>
      </w:pPr>
      <w:r>
        <w:rPr>
          <w:rFonts w:ascii="Noto Sans CJK SC" w:hAnsi="Noto Sans CJK SC" w:eastAsia="Noto Sans CJK SC"/>
        </w:rPr>
        <w:t>逐时刻把接收功率与门限比较，按M.2220将每个源分类为强脉冲或弱脉冲。</w:t>
      </w:r>
    </w:p>
    <w:p>
      <w:pPr>
        <w:pStyle w:val="ListNumber"/>
        <w:spacing w:before="0" w:after="60" w:line="317" w:lineRule="auto"/>
        <w:ind w:left="425" w:hanging="255"/>
      </w:pPr>
      <w:r>
        <w:rPr>
          <w:rFonts w:ascii="Noto Sans CJK SC" w:hAnsi="Noto Sans CJK SC" w:eastAsia="Noto Sans CJK SC"/>
        </w:rPr>
        <w:t>根据真实频谱重叠计算PW_eff；对强源计算PDC，对弱源计算RI。</w:t>
      </w:r>
    </w:p>
    <w:p>
      <w:pPr>
        <w:pStyle w:val="ListNumber"/>
        <w:spacing w:before="0" w:after="60" w:line="317" w:lineRule="auto"/>
        <w:ind w:left="425" w:hanging="255"/>
      </w:pPr>
      <w:r>
        <w:rPr>
          <w:rFonts w:ascii="Noto Sans CJK SC" w:hAnsi="Noto Sans CJK SC" w:eastAsia="Noto Sans CJK SC"/>
        </w:rPr>
        <w:t>按补集乘积和功率密度求和形成PDC_agg与RI_agg。</w:t>
      </w:r>
    </w:p>
    <w:p>
      <w:pPr>
        <w:pStyle w:val="ListNumber"/>
        <w:spacing w:before="0" w:after="60" w:line="317" w:lineRule="auto"/>
        <w:ind w:left="425" w:hanging="255"/>
      </w:pPr>
      <w:r>
        <w:rPr>
          <w:rFonts w:ascii="Noto Sans CJK SC" w:hAnsi="Noto Sans CJK SC" w:eastAsia="Noto Sans CJK SC"/>
        </w:rPr>
        <w:t>把逐时刻聚合参数输入M.2030，计算新增劣化D(t)。</w:t>
      </w:r>
    </w:p>
    <w:p>
      <w:pPr>
        <w:pStyle w:val="ListNumber"/>
        <w:spacing w:before="0" w:after="60" w:line="317" w:lineRule="auto"/>
        <w:ind w:left="425" w:hanging="255"/>
      </w:pPr>
      <w:r>
        <w:rPr>
          <w:rFonts w:ascii="Noto Sans CJK SC" w:hAnsi="Noto Sans CJK SC" w:eastAsia="Noto Sans CJK SC"/>
        </w:rPr>
        <w:t>统计最大劣化、超限总时长、单次最长超限、事件次数、纬度/区域分布和多星同时照射次数。</w:t>
      </w:r>
    </w:p>
    <w:p>
      <w:pPr>
        <w:pStyle w:val="ListNumber"/>
        <w:spacing w:before="0" w:after="60" w:line="317" w:lineRule="auto"/>
        <w:ind w:left="425" w:hanging="255"/>
      </w:pPr>
      <w:r>
        <w:rPr>
          <w:rFonts w:ascii="Noto Sans CJK SC" w:hAnsi="Noto Sans CJK SC" w:eastAsia="Noto Sans CJK SC"/>
        </w:rPr>
        <w:t>对关键工况开展射频注入试验，校准接收机门限、恢复时间、真实滤波和瞬时C/N0响应。</w:t>
      </w:r>
    </w:p>
    <w:p>
      <w:pPr>
        <w:pStyle w:val="ListNumber"/>
        <w:spacing w:before="0" w:after="60" w:line="317" w:lineRule="auto"/>
        <w:ind w:left="425" w:hanging="255"/>
      </w:pPr>
      <w:r>
        <w:rPr>
          <w:rFonts w:ascii="Noto Sans CJK SC" w:hAnsi="Noto Sans CJK SC" w:eastAsia="Noto Sans CJK SC"/>
        </w:rPr>
        <w:t>设计中心频率、脉宽、PRF、波束、区域和运行时序缓解方案，重新仿真并形成闭环。</w:t>
      </w:r>
    </w:p>
    <w:p>
      <w:pPr>
        <w:pStyle w:val="Heading2"/>
        <w:keepNext/>
        <w:spacing w:before="220" w:after="100"/>
      </w:pPr>
      <w:r>
        <w:rPr>
          <w:rFonts w:ascii="Noto Serif CJK SC" w:hAnsi="Noto Serif CJK SC" w:eastAsia="Noto Serif CJK SC"/>
          <w:b/>
          <w:color w:val="1F4E78"/>
          <w:sz w:val="26"/>
        </w:rPr>
        <w:t>26. 项目最小参数清单</w:t>
      </w: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1984"/>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类别</w:t>
            </w:r>
          </w:p>
        </w:tc>
        <w:tc>
          <w:tcPr>
            <w:tcW w:type="dxa" w:w="6917"/>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至少需要的参数</w:t>
            </w:r>
          </w:p>
        </w:tc>
      </w:tr>
      <w:tr>
        <w:trPr>
          <w:cantSplit/>
        </w:trPr>
        <w:tc>
          <w:tcPr>
            <w:tcW w:type="dxa" w:w="1984"/>
            <w:tcMar>
              <w:top w:w="90" w:type="dxa"/>
              <w:start w:w="110" w:type="dxa"/>
              <w:bottom w:w="90" w:type="dxa"/>
              <w:end w:w="110" w:type="dxa"/>
            </w:tcMar>
            <w:vAlign w:val="center"/>
          </w:tcPr>
          <w:p>
            <w:pPr>
              <w:jc w:val="center"/>
            </w:pPr>
            <w:r>
              <w:rPr>
                <w:rFonts w:ascii="Noto Sans CJK SC" w:hAnsi="Noto Sans CJK SC" w:eastAsia="Noto Sans CJK SC"/>
                <w:sz w:val="17"/>
              </w:rPr>
              <w:t>脉冲源</w:t>
            </w:r>
          </w:p>
        </w:tc>
        <w:tc>
          <w:tcPr>
            <w:tcW w:type="dxa" w:w="6917"/>
            <w:tcMar>
              <w:top w:w="90" w:type="dxa"/>
              <w:start w:w="110" w:type="dxa"/>
              <w:bottom w:w="90" w:type="dxa"/>
              <w:end w:w="110" w:type="dxa"/>
            </w:tcMar>
            <w:vAlign w:val="center"/>
          </w:tcPr>
          <w:p>
            <w:pPr>
              <w:jc w:val="left"/>
            </w:pPr>
            <w:r>
              <w:rPr>
                <w:rFonts w:ascii="Noto Sans CJK SC" w:hAnsi="Noto Sans CJK SC" w:eastAsia="Noto Sans CJK SC"/>
                <w:sz w:val="17"/>
              </w:rPr>
              <w:t>中心频率、峰值/平均功率、脉宽、PRF、占空比、调频带宽、发射谱、极化、工作率</w:t>
            </w:r>
          </w:p>
        </w:tc>
      </w:tr>
      <w:tr>
        <w:trPr>
          <w:cantSplit/>
        </w:trPr>
        <w:tc>
          <w:tcPr>
            <w:tcW w:type="dxa" w:w="1984"/>
            <w:tcMar>
              <w:top w:w="90" w:type="dxa"/>
              <w:start w:w="110" w:type="dxa"/>
              <w:bottom w:w="90" w:type="dxa"/>
              <w:end w:w="110" w:type="dxa"/>
            </w:tcMar>
            <w:vAlign w:val="center"/>
            <w:shd w:fill="EEF5FA"/>
          </w:tcPr>
          <w:p>
            <w:pPr>
              <w:jc w:val="center"/>
            </w:pPr>
            <w:r>
              <w:rPr>
                <w:rFonts w:ascii="Noto Sans CJK SC" w:hAnsi="Noto Sans CJK SC" w:eastAsia="Noto Sans CJK SC"/>
                <w:sz w:val="17"/>
              </w:rPr>
              <w:t>天线与几何</w:t>
            </w:r>
          </w:p>
        </w:tc>
        <w:tc>
          <w:tcPr>
            <w:tcW w:type="dxa" w:w="6917"/>
            <w:tcMar>
              <w:top w:w="90" w:type="dxa"/>
              <w:start w:w="110" w:type="dxa"/>
              <w:bottom w:w="90" w:type="dxa"/>
              <w:end w:w="110" w:type="dxa"/>
            </w:tcMar>
            <w:vAlign w:val="center"/>
            <w:shd w:fill="EEF5FA"/>
          </w:tcPr>
          <w:p>
            <w:pPr>
              <w:jc w:val="left"/>
            </w:pPr>
            <w:r>
              <w:rPr>
                <w:rFonts w:ascii="Noto Sans CJK SC" w:hAnsi="Noto Sans CJK SC" w:eastAsia="Noto Sans CJK SC"/>
                <w:sz w:val="17"/>
              </w:rPr>
              <w:t>完整三维增益、扫描规律、观察角、轨道/位置、姿态、星地斜距、到达角</w:t>
            </w:r>
          </w:p>
        </w:tc>
      </w:tr>
      <w:tr>
        <w:trPr>
          <w:cantSplit/>
        </w:trPr>
        <w:tc>
          <w:tcPr>
            <w:tcW w:type="dxa" w:w="1984"/>
            <w:tcMar>
              <w:top w:w="90" w:type="dxa"/>
              <w:start w:w="110" w:type="dxa"/>
              <w:bottom w:w="90" w:type="dxa"/>
              <w:end w:w="110" w:type="dxa"/>
            </w:tcMar>
            <w:vAlign w:val="center"/>
          </w:tcPr>
          <w:p>
            <w:pPr>
              <w:jc w:val="center"/>
            </w:pPr>
            <w:r>
              <w:rPr>
                <w:rFonts w:ascii="Noto Sans CJK SC" w:hAnsi="Noto Sans CJK SC" w:eastAsia="Noto Sans CJK SC"/>
                <w:sz w:val="17"/>
              </w:rPr>
              <w:t>传播</w:t>
            </w:r>
          </w:p>
        </w:tc>
        <w:tc>
          <w:tcPr>
            <w:tcW w:type="dxa" w:w="6917"/>
            <w:tcMar>
              <w:top w:w="90" w:type="dxa"/>
              <w:start w:w="110" w:type="dxa"/>
              <w:bottom w:w="90" w:type="dxa"/>
              <w:end w:w="110" w:type="dxa"/>
            </w:tcMar>
            <w:vAlign w:val="center"/>
          </w:tcPr>
          <w:p>
            <w:pPr>
              <w:jc w:val="left"/>
            </w:pPr>
            <w:r>
              <w:rPr>
                <w:rFonts w:ascii="Noto Sans CJK SC" w:hAnsi="Noto Sans CJK SC" w:eastAsia="Noto Sans CJK SC"/>
                <w:sz w:val="17"/>
              </w:rPr>
              <w:t>自由空间损耗、极化失配、地形/遮挡、必要时异常传播</w:t>
            </w:r>
          </w:p>
        </w:tc>
      </w:tr>
      <w:tr>
        <w:trPr>
          <w:cantSplit/>
        </w:trPr>
        <w:tc>
          <w:tcPr>
            <w:tcW w:type="dxa" w:w="1984"/>
            <w:tcMar>
              <w:top w:w="90" w:type="dxa"/>
              <w:start w:w="110" w:type="dxa"/>
              <w:bottom w:w="90" w:type="dxa"/>
              <w:end w:w="110" w:type="dxa"/>
            </w:tcMar>
            <w:vAlign w:val="center"/>
            <w:shd w:fill="EEF5FA"/>
          </w:tcPr>
          <w:p>
            <w:pPr>
              <w:jc w:val="center"/>
            </w:pPr>
            <w:r>
              <w:rPr>
                <w:rFonts w:ascii="Noto Sans CJK SC" w:hAnsi="Noto Sans CJK SC" w:eastAsia="Noto Sans CJK SC"/>
                <w:sz w:val="17"/>
              </w:rPr>
              <w:t>RNSS接收机</w:t>
            </w:r>
          </w:p>
        </w:tc>
        <w:tc>
          <w:tcPr>
            <w:tcW w:type="dxa" w:w="6917"/>
            <w:tcMar>
              <w:top w:w="90" w:type="dxa"/>
              <w:start w:w="110" w:type="dxa"/>
              <w:bottom w:w="90" w:type="dxa"/>
              <w:end w:w="110" w:type="dxa"/>
            </w:tcMar>
            <w:vAlign w:val="center"/>
            <w:shd w:fill="EEF5FA"/>
          </w:tcPr>
          <w:p>
            <w:pPr>
              <w:jc w:val="left"/>
            </w:pPr>
            <w:r>
              <w:rPr>
                <w:rFonts w:ascii="Noto Sans CJK SC" w:hAnsi="Noto Sans CJK SC" w:eastAsia="Noto Sans CJK SC"/>
                <w:sz w:val="17"/>
              </w:rPr>
              <w:t>天线方向图、RF/IF滤波、系统噪声、熄减/饱和门限、生存电平、τr、NLIM、AGC/ADC</w:t>
            </w:r>
          </w:p>
        </w:tc>
      </w:tr>
      <w:tr>
        <w:trPr>
          <w:cantSplit/>
        </w:trPr>
        <w:tc>
          <w:tcPr>
            <w:tcW w:type="dxa" w:w="1984"/>
            <w:tcMar>
              <w:top w:w="90" w:type="dxa"/>
              <w:start w:w="110" w:type="dxa"/>
              <w:bottom w:w="90" w:type="dxa"/>
              <w:end w:w="110" w:type="dxa"/>
            </w:tcMar>
            <w:vAlign w:val="center"/>
          </w:tcPr>
          <w:p>
            <w:pPr>
              <w:jc w:val="center"/>
            </w:pPr>
            <w:r>
              <w:rPr>
                <w:rFonts w:ascii="Noto Sans CJK SC" w:hAnsi="Noto Sans CJK SC" w:eastAsia="Noto Sans CJK SC"/>
                <w:sz w:val="17"/>
              </w:rPr>
              <w:t>运行环境</w:t>
            </w:r>
          </w:p>
        </w:tc>
        <w:tc>
          <w:tcPr>
            <w:tcW w:type="dxa" w:w="6917"/>
            <w:tcMar>
              <w:top w:w="90" w:type="dxa"/>
              <w:start w:w="110" w:type="dxa"/>
              <w:bottom w:w="90" w:type="dxa"/>
              <w:end w:w="110" w:type="dxa"/>
            </w:tcMar>
            <w:vAlign w:val="center"/>
          </w:tcPr>
          <w:p>
            <w:pPr>
              <w:jc w:val="left"/>
            </w:pPr>
            <w:r>
              <w:rPr>
                <w:rFonts w:ascii="Noto Sans CJK SC" w:hAnsi="Noto Sans CJK SC" w:eastAsia="Noto Sans CJK SC"/>
                <w:sz w:val="17"/>
              </w:rPr>
              <w:t>已有脉冲源基线PDC/RI、连续干扰I0,WB/N0、任务区域、开机时段、其他卫星计划</w:t>
            </w:r>
          </w:p>
        </w:tc>
      </w:tr>
      <w:tr>
        <w:trPr>
          <w:cantSplit/>
        </w:trPr>
        <w:tc>
          <w:tcPr>
            <w:tcW w:type="dxa" w:w="1984"/>
            <w:tcMar>
              <w:top w:w="90" w:type="dxa"/>
              <w:start w:w="110" w:type="dxa"/>
              <w:bottom w:w="90" w:type="dxa"/>
              <w:end w:w="110" w:type="dxa"/>
            </w:tcMar>
            <w:vAlign w:val="center"/>
            <w:shd w:fill="EEF5FA"/>
          </w:tcPr>
          <w:p>
            <w:pPr>
              <w:jc w:val="center"/>
            </w:pPr>
            <w:r>
              <w:rPr>
                <w:rFonts w:ascii="Noto Sans CJK SC" w:hAnsi="Noto Sans CJK SC" w:eastAsia="Noto Sans CJK SC"/>
                <w:sz w:val="17"/>
              </w:rPr>
              <w:t>验收输出</w:t>
            </w:r>
          </w:p>
        </w:tc>
        <w:tc>
          <w:tcPr>
            <w:tcW w:type="dxa" w:w="6917"/>
            <w:tcMar>
              <w:top w:w="90" w:type="dxa"/>
              <w:start w:w="110" w:type="dxa"/>
              <w:bottom w:w="90" w:type="dxa"/>
              <w:end w:w="110" w:type="dxa"/>
            </w:tcMar>
            <w:vAlign w:val="center"/>
            <w:shd w:fill="EEF5FA"/>
          </w:tcPr>
          <w:p>
            <w:pPr>
              <w:jc w:val="left"/>
            </w:pPr>
            <w:r>
              <w:rPr>
                <w:rFonts w:ascii="Noto Sans CJK SC" w:hAnsi="Noto Sans CJK SC" w:eastAsia="Noto Sans CJK SC"/>
                <w:sz w:val="17"/>
              </w:rPr>
              <w:t>峰值功率、PDC/RI时序、D(t)、CDF/CCDF、超限持续时间、事件地图、试验测得C/N0/失锁/恢复</w:t>
            </w:r>
          </w:p>
        </w:tc>
      </w:tr>
    </w:tbl>
    <w:p>
      <w:pPr>
        <w:spacing w:after="0"/>
      </w:pPr>
    </w:p>
    <w:p>
      <w:pPr>
        <w:pStyle w:val="Heading2"/>
        <w:keepNext/>
        <w:spacing w:before="220" w:after="100"/>
      </w:pPr>
      <w:r>
        <w:rPr>
          <w:rFonts w:ascii="Noto Serif CJK SC" w:hAnsi="Noto Serif CJK SC" w:eastAsia="Noto Serif CJK SC"/>
          <w:b/>
          <w:color w:val="1F4E78"/>
          <w:sz w:val="26"/>
        </w:rPr>
        <w:t>27. 两份报告最值得项目借鉴的方法</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2154"/>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方法</w:t>
            </w:r>
          </w:p>
        </w:tc>
        <w:tc>
          <w:tcPr>
            <w:tcW w:type="dxa" w:w="1814"/>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来自哪份报告</w:t>
            </w:r>
          </w:p>
        </w:tc>
        <w:tc>
          <w:tcPr>
            <w:tcW w:type="dxa" w:w="493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6"/>
              </w:rPr>
              <w:t>项目落地方式</w:t>
            </w:r>
          </w:p>
        </w:tc>
      </w:tr>
      <w:tr>
        <w:trPr>
          <w:cantSplit/>
        </w:trPr>
        <w:tc>
          <w:tcPr>
            <w:tcW w:type="dxa" w:w="2154"/>
            <w:tcMar>
              <w:top w:w="90" w:type="dxa"/>
              <w:start w:w="110" w:type="dxa"/>
              <w:bottom w:w="90" w:type="dxa"/>
              <w:end w:w="110" w:type="dxa"/>
            </w:tcMar>
            <w:vAlign w:val="center"/>
          </w:tcPr>
          <w:p>
            <w:pPr>
              <w:jc w:val="center"/>
            </w:pPr>
            <w:r>
              <w:rPr>
                <w:rFonts w:ascii="Noto Sans CJK SC" w:hAnsi="Noto Sans CJK SC" w:eastAsia="Noto Sans CJK SC"/>
                <w:sz w:val="16"/>
              </w:rPr>
              <w:t>强/弱脉冲分流</w:t>
            </w:r>
          </w:p>
        </w:tc>
        <w:tc>
          <w:tcPr>
            <w:tcW w:type="dxa" w:w="1814"/>
            <w:tcMar>
              <w:top w:w="90" w:type="dxa"/>
              <w:start w:w="110" w:type="dxa"/>
              <w:bottom w:w="90" w:type="dxa"/>
              <w:end w:w="110" w:type="dxa"/>
            </w:tcMar>
            <w:vAlign w:val="center"/>
          </w:tcPr>
          <w:p>
            <w:pPr>
              <w:jc w:val="left"/>
            </w:pPr>
            <w:r>
              <w:rPr>
                <w:rFonts w:ascii="Noto Sans CJK SC" w:hAnsi="Noto Sans CJK SC" w:eastAsia="Noto Sans CJK SC"/>
                <w:sz w:val="16"/>
              </w:rPr>
              <w:t>M.2220</w:t>
            </w:r>
          </w:p>
        </w:tc>
        <w:tc>
          <w:tcPr>
            <w:tcW w:type="dxa" w:w="4932"/>
            <w:tcMar>
              <w:top w:w="90" w:type="dxa"/>
              <w:start w:w="110" w:type="dxa"/>
              <w:bottom w:w="90" w:type="dxa"/>
              <w:end w:w="110" w:type="dxa"/>
            </w:tcMar>
            <w:vAlign w:val="center"/>
          </w:tcPr>
          <w:p>
            <w:pPr>
              <w:jc w:val="left"/>
            </w:pPr>
            <w:r>
              <w:rPr>
                <w:rFonts w:ascii="Noto Sans CJK SC" w:hAnsi="Noto Sans CJK SC" w:eastAsia="Noto Sans CJK SC"/>
                <w:sz w:val="16"/>
              </w:rPr>
              <w:t>按实测接收机门限逐时刻分类，避免全部当噪声或全部当饱和</w:t>
            </w:r>
          </w:p>
        </w:tc>
      </w:tr>
      <w:tr>
        <w:trPr>
          <w:cantSplit/>
        </w:trPr>
        <w:tc>
          <w:tcPr>
            <w:tcW w:type="dxa" w:w="2154"/>
            <w:tcMar>
              <w:top w:w="90" w:type="dxa"/>
              <w:start w:w="110" w:type="dxa"/>
              <w:bottom w:w="90" w:type="dxa"/>
              <w:end w:w="110" w:type="dxa"/>
            </w:tcMar>
            <w:vAlign w:val="center"/>
            <w:shd w:fill="EEF5FA"/>
          </w:tcPr>
          <w:p>
            <w:pPr>
              <w:jc w:val="center"/>
            </w:pPr>
            <w:r>
              <w:rPr>
                <w:rFonts w:ascii="Noto Sans CJK SC" w:hAnsi="Noto Sans CJK SC" w:eastAsia="Noto Sans CJK SC"/>
                <w:sz w:val="16"/>
              </w:rPr>
              <w:t>净PDC聚合</w:t>
            </w:r>
          </w:p>
        </w:tc>
        <w:tc>
          <w:tcPr>
            <w:tcW w:type="dxa" w:w="1814"/>
            <w:tcMar>
              <w:top w:w="90" w:type="dxa"/>
              <w:start w:w="110" w:type="dxa"/>
              <w:bottom w:w="90" w:type="dxa"/>
              <w:end w:w="110" w:type="dxa"/>
            </w:tcMar>
            <w:vAlign w:val="center"/>
            <w:shd w:fill="EEF5FA"/>
          </w:tcPr>
          <w:p>
            <w:pPr>
              <w:jc w:val="left"/>
            </w:pPr>
            <w:r>
              <w:rPr>
                <w:rFonts w:ascii="Noto Sans CJK SC" w:hAnsi="Noto Sans CJK SC" w:eastAsia="Noto Sans CJK SC"/>
                <w:sz w:val="16"/>
              </w:rPr>
              <w:t>M.2220</w:t>
            </w:r>
          </w:p>
        </w:tc>
        <w:tc>
          <w:tcPr>
            <w:tcW w:type="dxa" w:w="4932"/>
            <w:tcMar>
              <w:top w:w="90" w:type="dxa"/>
              <w:start w:w="110" w:type="dxa"/>
              <w:bottom w:w="90" w:type="dxa"/>
              <w:end w:w="110" w:type="dxa"/>
            </w:tcMar>
            <w:vAlign w:val="center"/>
            <w:shd w:fill="EEF5FA"/>
          </w:tcPr>
          <w:p>
            <w:pPr>
              <w:jc w:val="left"/>
            </w:pPr>
            <w:r>
              <w:rPr>
                <w:rFonts w:ascii="Noto Sans CJK SC" w:hAnsi="Noto Sans CJK SC" w:eastAsia="Noto Sans CJK SC"/>
                <w:sz w:val="16"/>
              </w:rPr>
              <w:t>使用时间并集而非算术和，处理多源脉冲碰撞</w:t>
            </w:r>
          </w:p>
        </w:tc>
      </w:tr>
      <w:tr>
        <w:trPr>
          <w:cantSplit/>
        </w:trPr>
        <w:tc>
          <w:tcPr>
            <w:tcW w:type="dxa" w:w="2154"/>
            <w:tcMar>
              <w:top w:w="90" w:type="dxa"/>
              <w:start w:w="110" w:type="dxa"/>
              <w:bottom w:w="90" w:type="dxa"/>
              <w:end w:w="110" w:type="dxa"/>
            </w:tcMar>
            <w:vAlign w:val="center"/>
          </w:tcPr>
          <w:p>
            <w:pPr>
              <w:jc w:val="center"/>
            </w:pPr>
            <w:r>
              <w:rPr>
                <w:rFonts w:ascii="Noto Sans CJK SC" w:hAnsi="Noto Sans CJK SC" w:eastAsia="Noto Sans CJK SC"/>
                <w:sz w:val="16"/>
              </w:rPr>
              <w:t>chirp有效脉宽</w:t>
            </w:r>
          </w:p>
        </w:tc>
        <w:tc>
          <w:tcPr>
            <w:tcW w:type="dxa" w:w="1814"/>
            <w:tcMar>
              <w:top w:w="90" w:type="dxa"/>
              <w:start w:w="110" w:type="dxa"/>
              <w:bottom w:w="90" w:type="dxa"/>
              <w:end w:w="110" w:type="dxa"/>
            </w:tcMar>
            <w:vAlign w:val="center"/>
          </w:tcPr>
          <w:p>
            <w:pPr>
              <w:jc w:val="left"/>
            </w:pPr>
            <w:r>
              <w:rPr>
                <w:rFonts w:ascii="Noto Sans CJK SC" w:hAnsi="Noto Sans CJK SC" w:eastAsia="Noto Sans CJK SC"/>
                <w:sz w:val="16"/>
              </w:rPr>
              <w:t>M.2220</w:t>
            </w:r>
          </w:p>
        </w:tc>
        <w:tc>
          <w:tcPr>
            <w:tcW w:type="dxa" w:w="4932"/>
            <w:tcMar>
              <w:top w:w="90" w:type="dxa"/>
              <w:start w:w="110" w:type="dxa"/>
              <w:bottom w:w="90" w:type="dxa"/>
              <w:end w:w="110" w:type="dxa"/>
            </w:tcMar>
            <w:vAlign w:val="center"/>
          </w:tcPr>
          <w:p>
            <w:pPr>
              <w:jc w:val="left"/>
            </w:pPr>
            <w:r>
              <w:rPr>
                <w:rFonts w:ascii="Noto Sans CJK SC" w:hAnsi="Noto Sans CJK SC" w:eastAsia="Noto Sans CJK SC"/>
                <w:sz w:val="16"/>
              </w:rPr>
              <w:t>用发射谱与接收滤波器的重叠积分替代名义带宽判断</w:t>
            </w:r>
          </w:p>
        </w:tc>
      </w:tr>
      <w:tr>
        <w:trPr>
          <w:cantSplit/>
        </w:trPr>
        <w:tc>
          <w:tcPr>
            <w:tcW w:type="dxa" w:w="2154"/>
            <w:tcMar>
              <w:top w:w="90" w:type="dxa"/>
              <w:start w:w="110" w:type="dxa"/>
              <w:bottom w:w="90" w:type="dxa"/>
              <w:end w:w="110" w:type="dxa"/>
            </w:tcMar>
            <w:vAlign w:val="center"/>
            <w:shd w:fill="EEF5FA"/>
          </w:tcPr>
          <w:p>
            <w:pPr>
              <w:jc w:val="center"/>
            </w:pPr>
            <w:r>
              <w:rPr>
                <w:rFonts w:ascii="Noto Sans CJK SC" w:hAnsi="Noto Sans CJK SC" w:eastAsia="Noto Sans CJK SC"/>
                <w:sz w:val="16"/>
              </w:rPr>
              <w:t>源—路径—接收机模块化</w:t>
            </w:r>
          </w:p>
        </w:tc>
        <w:tc>
          <w:tcPr>
            <w:tcW w:type="dxa" w:w="1814"/>
            <w:tcMar>
              <w:top w:w="90" w:type="dxa"/>
              <w:start w:w="110" w:type="dxa"/>
              <w:bottom w:w="90" w:type="dxa"/>
              <w:end w:w="110" w:type="dxa"/>
            </w:tcMar>
            <w:vAlign w:val="center"/>
            <w:shd w:fill="EEF5FA"/>
          </w:tcPr>
          <w:p>
            <w:pPr>
              <w:jc w:val="left"/>
            </w:pPr>
            <w:r>
              <w:rPr>
                <w:rFonts w:ascii="Noto Sans CJK SC" w:hAnsi="Noto Sans CJK SC" w:eastAsia="Noto Sans CJK SC"/>
                <w:sz w:val="16"/>
              </w:rPr>
              <w:t>M.2220</w:t>
            </w:r>
          </w:p>
        </w:tc>
        <w:tc>
          <w:tcPr>
            <w:tcW w:type="dxa" w:w="4932"/>
            <w:tcMar>
              <w:top w:w="90" w:type="dxa"/>
              <w:start w:w="110" w:type="dxa"/>
              <w:bottom w:w="90" w:type="dxa"/>
              <w:end w:w="110" w:type="dxa"/>
            </w:tcMar>
            <w:vAlign w:val="center"/>
            <w:shd w:fill="EEF5FA"/>
          </w:tcPr>
          <w:p>
            <w:pPr>
              <w:jc w:val="left"/>
            </w:pPr>
            <w:r>
              <w:rPr>
                <w:rFonts w:ascii="Noto Sans CJK SC" w:hAnsi="Noto Sans CJK SC" w:eastAsia="Noto Sans CJK SC"/>
                <w:sz w:val="16"/>
              </w:rPr>
              <w:t>软件中分离发射机数据库、传播、接收机模型，便于复用和审查</w:t>
            </w:r>
          </w:p>
        </w:tc>
      </w:tr>
      <w:tr>
        <w:trPr>
          <w:cantSplit/>
        </w:trPr>
        <w:tc>
          <w:tcPr>
            <w:tcW w:type="dxa" w:w="2154"/>
            <w:tcMar>
              <w:top w:w="90" w:type="dxa"/>
              <w:start w:w="110" w:type="dxa"/>
              <w:bottom w:w="90" w:type="dxa"/>
              <w:end w:w="110" w:type="dxa"/>
            </w:tcMar>
            <w:vAlign w:val="center"/>
          </w:tcPr>
          <w:p>
            <w:pPr>
              <w:jc w:val="center"/>
            </w:pPr>
            <w:r>
              <w:rPr>
                <w:rFonts w:ascii="Noto Sans CJK SC" w:hAnsi="Noto Sans CJK SC" w:eastAsia="Noto Sans CJK SC"/>
                <w:sz w:val="16"/>
              </w:rPr>
              <w:t>长时轨道事件统计</w:t>
            </w:r>
          </w:p>
        </w:tc>
        <w:tc>
          <w:tcPr>
            <w:tcW w:type="dxa" w:w="1814"/>
            <w:tcMar>
              <w:top w:w="90" w:type="dxa"/>
              <w:start w:w="110" w:type="dxa"/>
              <w:bottom w:w="90" w:type="dxa"/>
              <w:end w:w="110" w:type="dxa"/>
            </w:tcMar>
            <w:vAlign w:val="center"/>
          </w:tcPr>
          <w:p>
            <w:pPr>
              <w:jc w:val="left"/>
            </w:pPr>
            <w:r>
              <w:rPr>
                <w:rFonts w:ascii="Noto Sans CJK SC" w:hAnsi="Noto Sans CJK SC" w:eastAsia="Noto Sans CJK SC"/>
                <w:sz w:val="16"/>
              </w:rPr>
              <w:t>M.2305</w:t>
            </w:r>
          </w:p>
        </w:tc>
        <w:tc>
          <w:tcPr>
            <w:tcW w:type="dxa" w:w="4932"/>
            <w:tcMar>
              <w:top w:w="90" w:type="dxa"/>
              <w:start w:w="110" w:type="dxa"/>
              <w:bottom w:w="90" w:type="dxa"/>
              <w:end w:w="110" w:type="dxa"/>
            </w:tcMar>
            <w:vAlign w:val="center"/>
          </w:tcPr>
          <w:p>
            <w:pPr>
              <w:jc w:val="left"/>
            </w:pPr>
            <w:r>
              <w:rPr>
                <w:rFonts w:ascii="Noto Sans CJK SC" w:hAnsi="Noto Sans CJK SC" w:eastAsia="Noto Sans CJK SC"/>
                <w:sz w:val="16"/>
              </w:rPr>
              <w:t>至少覆盖轨道重复周期或代表性长期窗口</w:t>
            </w:r>
          </w:p>
        </w:tc>
      </w:tr>
      <w:tr>
        <w:trPr>
          <w:cantSplit/>
        </w:trPr>
        <w:tc>
          <w:tcPr>
            <w:tcW w:type="dxa" w:w="2154"/>
            <w:tcMar>
              <w:top w:w="90" w:type="dxa"/>
              <w:start w:w="110" w:type="dxa"/>
              <w:bottom w:w="90" w:type="dxa"/>
              <w:end w:w="110" w:type="dxa"/>
            </w:tcMar>
            <w:vAlign w:val="center"/>
            <w:shd w:fill="EEF5FA"/>
          </w:tcPr>
          <w:p>
            <w:pPr>
              <w:jc w:val="center"/>
            </w:pPr>
            <w:r>
              <w:rPr>
                <w:rFonts w:ascii="Noto Sans CJK SC" w:hAnsi="Noto Sans CJK SC" w:eastAsia="Noto Sans CJK SC"/>
                <w:sz w:val="16"/>
              </w:rPr>
              <w:t>多尺度时间步长</w:t>
            </w:r>
          </w:p>
        </w:tc>
        <w:tc>
          <w:tcPr>
            <w:tcW w:type="dxa" w:w="1814"/>
            <w:tcMar>
              <w:top w:w="90" w:type="dxa"/>
              <w:start w:w="110" w:type="dxa"/>
              <w:bottom w:w="90" w:type="dxa"/>
              <w:end w:w="110" w:type="dxa"/>
            </w:tcMar>
            <w:vAlign w:val="center"/>
            <w:shd w:fill="EEF5FA"/>
          </w:tcPr>
          <w:p>
            <w:pPr>
              <w:jc w:val="left"/>
            </w:pPr>
            <w:r>
              <w:rPr>
                <w:rFonts w:ascii="Noto Sans CJK SC" w:hAnsi="Noto Sans CJK SC" w:eastAsia="Noto Sans CJK SC"/>
                <w:sz w:val="16"/>
              </w:rPr>
              <w:t>M.2305</w:t>
            </w:r>
          </w:p>
        </w:tc>
        <w:tc>
          <w:tcPr>
            <w:tcW w:type="dxa" w:w="4932"/>
            <w:tcMar>
              <w:top w:w="90" w:type="dxa"/>
              <w:start w:w="110" w:type="dxa"/>
              <w:bottom w:w="90" w:type="dxa"/>
              <w:end w:w="110" w:type="dxa"/>
            </w:tcMar>
            <w:vAlign w:val="center"/>
            <w:shd w:fill="EEF5FA"/>
          </w:tcPr>
          <w:p>
            <w:pPr>
              <w:jc w:val="left"/>
            </w:pPr>
            <w:r>
              <w:rPr>
                <w:rFonts w:ascii="Noto Sans CJK SC" w:hAnsi="Noto Sans CJK SC" w:eastAsia="Noto Sans CJK SC"/>
                <w:sz w:val="16"/>
              </w:rPr>
              <w:t>慢SAR用秒级，旋转波束用毫秒级窗口，兼顾精度与计算量</w:t>
            </w:r>
          </w:p>
        </w:tc>
      </w:tr>
      <w:tr>
        <w:trPr>
          <w:cantSplit/>
        </w:trPr>
        <w:tc>
          <w:tcPr>
            <w:tcW w:type="dxa" w:w="2154"/>
            <w:tcMar>
              <w:top w:w="90" w:type="dxa"/>
              <w:start w:w="110" w:type="dxa"/>
              <w:bottom w:w="90" w:type="dxa"/>
              <w:end w:w="110" w:type="dxa"/>
            </w:tcMar>
            <w:vAlign w:val="center"/>
          </w:tcPr>
          <w:p>
            <w:pPr>
              <w:jc w:val="center"/>
            </w:pPr>
            <w:r>
              <w:rPr>
                <w:rFonts w:ascii="Noto Sans CJK SC" w:hAnsi="Noto Sans CJK SC" w:eastAsia="Noto Sans CJK SC"/>
                <w:sz w:val="16"/>
              </w:rPr>
              <w:t>事件次数与持续时间分开</w:t>
            </w:r>
          </w:p>
        </w:tc>
        <w:tc>
          <w:tcPr>
            <w:tcW w:type="dxa" w:w="1814"/>
            <w:tcMar>
              <w:top w:w="90" w:type="dxa"/>
              <w:start w:w="110" w:type="dxa"/>
              <w:bottom w:w="90" w:type="dxa"/>
              <w:end w:w="110" w:type="dxa"/>
            </w:tcMar>
            <w:vAlign w:val="center"/>
          </w:tcPr>
          <w:p>
            <w:pPr>
              <w:jc w:val="left"/>
            </w:pPr>
            <w:r>
              <w:rPr>
                <w:rFonts w:ascii="Noto Sans CJK SC" w:hAnsi="Noto Sans CJK SC" w:eastAsia="Noto Sans CJK SC"/>
                <w:sz w:val="16"/>
              </w:rPr>
              <w:t>M.2305</w:t>
            </w:r>
          </w:p>
        </w:tc>
        <w:tc>
          <w:tcPr>
            <w:tcW w:type="dxa" w:w="4932"/>
            <w:tcMar>
              <w:top w:w="90" w:type="dxa"/>
              <w:start w:w="110" w:type="dxa"/>
              <w:bottom w:w="90" w:type="dxa"/>
              <w:end w:w="110" w:type="dxa"/>
            </w:tcMar>
            <w:vAlign w:val="center"/>
          </w:tcPr>
          <w:p>
            <w:pPr>
              <w:jc w:val="left"/>
            </w:pPr>
            <w:r>
              <w:rPr>
                <w:rFonts w:ascii="Noto Sans CJK SC" w:hAnsi="Noto Sans CJK SC" w:eastAsia="Noto Sans CJK SC"/>
                <w:sz w:val="16"/>
              </w:rPr>
              <w:t>避免只报告最大功率，补充单次持续、重访间隔和累计时间</w:t>
            </w:r>
          </w:p>
        </w:tc>
      </w:tr>
      <w:tr>
        <w:trPr>
          <w:cantSplit/>
        </w:trPr>
        <w:tc>
          <w:tcPr>
            <w:tcW w:type="dxa" w:w="2154"/>
            <w:tcMar>
              <w:top w:w="90" w:type="dxa"/>
              <w:start w:w="110" w:type="dxa"/>
              <w:bottom w:w="90" w:type="dxa"/>
              <w:end w:w="110" w:type="dxa"/>
            </w:tcMar>
            <w:vAlign w:val="center"/>
            <w:shd w:fill="EEF5FA"/>
          </w:tcPr>
          <w:p>
            <w:pPr>
              <w:jc w:val="center"/>
            </w:pPr>
            <w:r>
              <w:rPr>
                <w:rFonts w:ascii="Noto Sans CJK SC" w:hAnsi="Noto Sans CJK SC" w:eastAsia="Noto Sans CJK SC"/>
                <w:sz w:val="16"/>
              </w:rPr>
              <w:t>单源合格不代表聚合合格</w:t>
            </w:r>
          </w:p>
        </w:tc>
        <w:tc>
          <w:tcPr>
            <w:tcW w:type="dxa" w:w="1814"/>
            <w:tcMar>
              <w:top w:w="90" w:type="dxa"/>
              <w:start w:w="110" w:type="dxa"/>
              <w:bottom w:w="90" w:type="dxa"/>
              <w:end w:w="110" w:type="dxa"/>
            </w:tcMar>
            <w:vAlign w:val="center"/>
            <w:shd w:fill="EEF5FA"/>
          </w:tcPr>
          <w:p>
            <w:pPr>
              <w:jc w:val="left"/>
            </w:pPr>
            <w:r>
              <w:rPr>
                <w:rFonts w:ascii="Noto Sans CJK SC" w:hAnsi="Noto Sans CJK SC" w:eastAsia="Noto Sans CJK SC"/>
                <w:sz w:val="16"/>
              </w:rPr>
              <w:t>M.2305附件2</w:t>
            </w:r>
          </w:p>
        </w:tc>
        <w:tc>
          <w:tcPr>
            <w:tcW w:type="dxa" w:w="4932"/>
            <w:tcMar>
              <w:top w:w="90" w:type="dxa"/>
              <w:start w:w="110" w:type="dxa"/>
              <w:bottom w:w="90" w:type="dxa"/>
              <w:end w:w="110" w:type="dxa"/>
            </w:tcMar>
            <w:vAlign w:val="center"/>
            <w:shd w:fill="EEF5FA"/>
          </w:tcPr>
          <w:p>
            <w:pPr>
              <w:jc w:val="left"/>
            </w:pPr>
            <w:r>
              <w:rPr>
                <w:rFonts w:ascii="Noto Sans CJK SC" w:hAnsi="Noto Sans CJK SC" w:eastAsia="Noto Sans CJK SC"/>
                <w:sz w:val="16"/>
              </w:rPr>
              <w:t>所有新增系统必须在现有干扰基线上评估</w:t>
            </w:r>
          </w:p>
        </w:tc>
      </w:tr>
    </w:tbl>
    <w:p>
      <w:pPr>
        <w:spacing w:after="0"/>
      </w:pPr>
    </w:p>
    <w:p>
      <w:pPr>
        <w:pStyle w:val="Heading2"/>
        <w:keepNext/>
        <w:spacing w:before="220" w:after="100"/>
      </w:pPr>
      <w:r>
        <w:rPr>
          <w:rFonts w:ascii="Noto Serif CJK SC" w:hAnsi="Noto Serif CJK SC" w:eastAsia="Noto Serif CJK SC"/>
          <w:b/>
          <w:color w:val="1F4E78"/>
          <w:sz w:val="26"/>
        </w:rPr>
        <w:t>28. 常见误解与正确表述</w:t>
      </w: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3402"/>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误解</w:t>
            </w:r>
          </w:p>
        </w:tc>
        <w:tc>
          <w:tcPr>
            <w:tcW w:type="dxa" w:w="5499"/>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正确理解</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PDC就是发射机占空比</w:t>
            </w:r>
          </w:p>
        </w:tc>
        <w:tc>
          <w:tcPr>
            <w:tcW w:type="dxa" w:w="5499"/>
            <w:tcMar>
              <w:top w:w="90" w:type="dxa"/>
              <w:start w:w="110" w:type="dxa"/>
              <w:bottom w:w="90" w:type="dxa"/>
              <w:end w:w="110" w:type="dxa"/>
            </w:tcMar>
            <w:vAlign w:val="center"/>
          </w:tcPr>
          <w:p>
            <w:pPr>
              <w:jc w:val="left"/>
            </w:pPr>
            <w:r>
              <w:rPr>
                <w:rFonts w:ascii="Noto Sans CJK SC" w:hAnsi="Noto Sans CJK SC" w:eastAsia="Noto Sans CJK SC"/>
                <w:sz w:val="17"/>
              </w:rPr>
              <w:t>PDC是接收机端有效时间损失，包含滤波后的有效脉宽和恢复时间。</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只要两颗卫星可见就一定超限</w:t>
            </w:r>
          </w:p>
        </w:tc>
        <w:tc>
          <w:tcPr>
            <w:tcW w:type="dxa" w:w="5499"/>
            <w:tcMar>
              <w:top w:w="90" w:type="dxa"/>
              <w:start w:w="110" w:type="dxa"/>
              <w:bottom w:w="90" w:type="dxa"/>
              <w:end w:w="110" w:type="dxa"/>
            </w:tcMar>
            <w:vAlign w:val="center"/>
            <w:shd w:fill="EEF5FA"/>
          </w:tcPr>
          <w:p>
            <w:pPr>
              <w:jc w:val="left"/>
            </w:pPr>
            <w:r>
              <w:rPr>
                <w:rFonts w:ascii="Noto Sans CJK SC" w:hAnsi="Noto Sans CJK SC" w:eastAsia="Noto Sans CJK SC"/>
                <w:sz w:val="17"/>
              </w:rPr>
              <w:t>可见性只是几何上限，还要计算天线增益、频谱重叠和接收机门限。</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没有强—强事件就没有聚合影响</w:t>
            </w:r>
          </w:p>
        </w:tc>
        <w:tc>
          <w:tcPr>
            <w:tcW w:type="dxa" w:w="5499"/>
            <w:tcMar>
              <w:top w:w="90" w:type="dxa"/>
              <w:start w:w="110" w:type="dxa"/>
              <w:bottom w:w="90" w:type="dxa"/>
              <w:end w:w="110" w:type="dxa"/>
            </w:tcMar>
            <w:vAlign w:val="center"/>
          </w:tcPr>
          <w:p>
            <w:pPr>
              <w:jc w:val="left"/>
            </w:pPr>
            <w:r>
              <w:rPr>
                <w:rFonts w:ascii="Noto Sans CJK SC" w:hAnsi="Noto Sans CJK SC" w:eastAsia="Noto Sans CJK SC"/>
                <w:sz w:val="17"/>
              </w:rPr>
              <w:t>弱—弱和强—弱仍会通过RI和PDC共同产生劣化。</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单颗分别低于0.2 dB即可批准</w:t>
            </w:r>
          </w:p>
        </w:tc>
        <w:tc>
          <w:tcPr>
            <w:tcW w:type="dxa" w:w="5499"/>
            <w:tcMar>
              <w:top w:w="90" w:type="dxa"/>
              <w:start w:w="110" w:type="dxa"/>
              <w:bottom w:w="90" w:type="dxa"/>
              <w:end w:w="110" w:type="dxa"/>
            </w:tcMar>
            <w:vAlign w:val="center"/>
            <w:shd w:fill="EEF5FA"/>
          </w:tcPr>
          <w:p>
            <w:pPr>
              <w:jc w:val="left"/>
            </w:pPr>
            <w:r>
              <w:rPr>
                <w:rFonts w:ascii="Noto Sans CJK SC" w:hAnsi="Noto Sans CJK SC" w:eastAsia="Noto Sans CJK SC"/>
                <w:sz w:val="17"/>
              </w:rPr>
              <w:t>必须加入现有和规划脉冲源的累计影响。</w:t>
            </w:r>
          </w:p>
        </w:tc>
      </w:tr>
      <w:tr>
        <w:trPr>
          <w:cantSplit/>
        </w:trPr>
        <w:tc>
          <w:tcPr>
            <w:tcW w:type="dxa" w:w="3402"/>
            <w:tcMar>
              <w:top w:w="90" w:type="dxa"/>
              <w:start w:w="110" w:type="dxa"/>
              <w:bottom w:w="90" w:type="dxa"/>
              <w:end w:w="110" w:type="dxa"/>
            </w:tcMar>
            <w:vAlign w:val="center"/>
          </w:tcPr>
          <w:p>
            <w:pPr>
              <w:jc w:val="center"/>
            </w:pPr>
            <w:r>
              <w:rPr>
                <w:rFonts w:ascii="Noto Sans CJK SC" w:hAnsi="Noto Sans CJK SC" w:eastAsia="Noto Sans CJK SC"/>
                <w:sz w:val="17"/>
              </w:rPr>
              <w:t>报告中的−129 dBW、1 μs可直接用于所有设备</w:t>
            </w:r>
          </w:p>
        </w:tc>
        <w:tc>
          <w:tcPr>
            <w:tcW w:type="dxa" w:w="5499"/>
            <w:tcMar>
              <w:top w:w="90" w:type="dxa"/>
              <w:start w:w="110" w:type="dxa"/>
              <w:bottom w:w="90" w:type="dxa"/>
              <w:end w:w="110" w:type="dxa"/>
            </w:tcMar>
            <w:vAlign w:val="center"/>
          </w:tcPr>
          <w:p>
            <w:pPr>
              <w:jc w:val="left"/>
            </w:pPr>
            <w:r>
              <w:rPr>
                <w:rFonts w:ascii="Noto Sans CJK SC" w:hAnsi="Noto Sans CJK SC" w:eastAsia="Noto Sans CJK SC"/>
                <w:sz w:val="17"/>
              </w:rPr>
              <w:t>这些是特定模型参数，详细分析应由实测设备参数替换。</w:t>
            </w:r>
          </w:p>
        </w:tc>
      </w:tr>
      <w:tr>
        <w:trPr>
          <w:cantSplit/>
        </w:trPr>
        <w:tc>
          <w:tcPr>
            <w:tcW w:type="dxa" w:w="3402"/>
            <w:tcMar>
              <w:top w:w="90" w:type="dxa"/>
              <w:start w:w="110" w:type="dxa"/>
              <w:bottom w:w="90" w:type="dxa"/>
              <w:end w:w="110" w:type="dxa"/>
            </w:tcMar>
            <w:vAlign w:val="center"/>
            <w:shd w:fill="EEF5FA"/>
          </w:tcPr>
          <w:p>
            <w:pPr>
              <w:jc w:val="center"/>
            </w:pPr>
            <w:r>
              <w:rPr>
                <w:rFonts w:ascii="Noto Sans CJK SC" w:hAnsi="Noto Sans CJK SC" w:eastAsia="Noto Sans CJK SC"/>
                <w:sz w:val="17"/>
              </w:rPr>
              <w:t>M.2305给出了最终兼容性结论</w:t>
            </w:r>
          </w:p>
        </w:tc>
        <w:tc>
          <w:tcPr>
            <w:tcW w:type="dxa" w:w="5499"/>
            <w:tcMar>
              <w:top w:w="90" w:type="dxa"/>
              <w:start w:w="110" w:type="dxa"/>
              <w:bottom w:w="90" w:type="dxa"/>
              <w:end w:w="110" w:type="dxa"/>
            </w:tcMar>
            <w:vAlign w:val="center"/>
            <w:shd w:fill="EEF5FA"/>
          </w:tcPr>
          <w:p>
            <w:pPr>
              <w:jc w:val="left"/>
            </w:pPr>
            <w:r>
              <w:rPr>
                <w:rFonts w:ascii="Noto Sans CJK SC" w:hAnsi="Noto Sans CJK SC" w:eastAsia="Noto Sans CJK SC"/>
                <w:sz w:val="17"/>
              </w:rPr>
              <w:t>它给事件潜势；最终接受性仍需M.2220/M.2030及接收机试验。</w:t>
            </w:r>
          </w:p>
        </w:tc>
      </w:tr>
    </w:tbl>
    <w:p>
      <w:pPr>
        <w:spacing w:after="0"/>
      </w:pPr>
    </w:p>
    <w:p>
      <w:pPr>
        <w:pStyle w:val="Heading2"/>
        <w:keepNext/>
        <w:spacing w:before="220" w:after="100"/>
      </w:pPr>
      <w:r>
        <w:rPr>
          <w:rFonts w:ascii="Noto Serif CJK SC" w:hAnsi="Noto Serif CJK SC" w:eastAsia="Noto Serif CJK SC"/>
          <w:b/>
          <w:color w:val="1F4E78"/>
          <w:sz w:val="26"/>
        </w:rPr>
        <w:t>29. 总结</w:t>
      </w:r>
    </w:p>
    <w:p>
      <w:pPr>
        <w:keepNext w:val="0"/>
        <w:spacing w:before="0" w:after="120" w:line="348" w:lineRule="auto"/>
        <w:ind w:firstLine="420"/>
      </w:pPr>
      <w:r>
        <w:rPr>
          <w:rFonts w:ascii="Noto Sans CJK SC" w:hAnsi="Noto Sans CJK SC" w:eastAsia="Noto Sans CJK SC"/>
        </w:rPr>
        <w:t>M.2220-1的贡献是把复杂、异质的脉冲环境变成结构统一、可进入性能公式的聚合参数。它解决了“多个脉冲源怎样算在一起”的问题。M.2305-1的贡献是把单源静态最坏情况扩展到轨道、纬度、波束和时间维度，解决了“多个星载源什么时候真的会同时出现”的问题。</w:t>
      </w:r>
    </w:p>
    <w:p>
      <w:pPr>
        <w:keepNext w:val="0"/>
        <w:spacing w:before="0" w:after="120" w:line="348" w:lineRule="auto"/>
        <w:ind w:firstLine="420"/>
      </w:pPr>
      <w:r>
        <w:rPr>
          <w:rFonts w:ascii="Noto Sans CJK SC" w:hAnsi="Noto Sans CJK SC" w:eastAsia="Noto Sans CJK SC"/>
        </w:rPr>
        <w:t>两份报告结合后，详细分析应当同时保留功率域、频率域、时间域和几何域信息。最终工程结论不应只有一个最大I/N或一个0.2 dB比较值，而应包括事件地图、持续时间、累计概率、最坏波形、接收机实测参数以及缓解后的复算结果。</w:t>
      </w:r>
    </w:p>
    <w:p>
      <w:pPr>
        <w:pStyle w:val="Heading1"/>
        <w:keepNext/>
        <w:spacing w:before="300" w:after="160"/>
      </w:pPr>
      <w:r>
        <w:rPr>
          <w:rFonts w:ascii="Noto Serif CJK SC" w:hAnsi="Noto Serif CJK SC" w:eastAsia="Noto Serif CJK SC"/>
          <w:b/>
          <w:color w:val="1F4E78"/>
          <w:sz w:val="32"/>
        </w:rPr>
        <w:t>附录A：核心公式速查</w:t>
      </w: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4025"/>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公式</w:t>
            </w:r>
          </w:p>
        </w:tc>
        <w:tc>
          <w:tcPr>
            <w:tcW w:type="dxa" w:w="4876"/>
            <w:shd w:fill="1F4E78"/>
            <w:tcMar>
              <w:top w:w="90" w:type="dxa"/>
              <w:start w:w="110" w:type="dxa"/>
              <w:bottom w:w="90" w:type="dxa"/>
              <w:end w:w="110" w:type="dxa"/>
            </w:tcMar>
            <w:vAlign w:val="center"/>
          </w:tcPr>
          <w:p>
            <w:pPr>
              <w:jc w:val="center"/>
            </w:pPr>
            <w:r>
              <w:rPr>
                <w:rFonts w:ascii="Noto Sans CJK SC" w:hAnsi="Noto Sans CJK SC" w:eastAsia="Noto Sans CJK SC"/>
                <w:b/>
                <w:color w:val="FFFFFF"/>
                <w:sz w:val="17"/>
              </w:rPr>
              <w:t>用途</w:t>
            </w:r>
          </w:p>
        </w:tc>
      </w:tr>
      <w:tr>
        <w:trPr>
          <w:cantSplit/>
        </w:trPr>
        <w:tc>
          <w:tcPr>
            <w:tcW w:type="dxa" w:w="4025"/>
            <w:tcMar>
              <w:top w:w="90" w:type="dxa"/>
              <w:start w:w="110" w:type="dxa"/>
              <w:bottom w:w="90" w:type="dxa"/>
              <w:end w:w="110" w:type="dxa"/>
            </w:tcMar>
            <w:vAlign w:val="center"/>
          </w:tcPr>
          <w:p>
            <w:pPr>
              <w:jc w:val="center"/>
            </w:pPr>
            <w:r>
              <w:rPr>
                <w:rFonts w:ascii="Noto Sans CJK SC" w:hAnsi="Noto Sans CJK SC" w:eastAsia="Noto Sans CJK SC"/>
                <w:sz w:val="17"/>
              </w:rPr>
              <w:t>PDC_j=(PW_j,eff+τr)PRF_j</w:t>
            </w:r>
          </w:p>
        </w:tc>
        <w:tc>
          <w:tcPr>
            <w:tcW w:type="dxa" w:w="4876"/>
            <w:tcMar>
              <w:top w:w="90" w:type="dxa"/>
              <w:start w:w="110" w:type="dxa"/>
              <w:bottom w:w="90" w:type="dxa"/>
              <w:end w:w="110" w:type="dxa"/>
            </w:tcMar>
            <w:vAlign w:val="center"/>
          </w:tcPr>
          <w:p>
            <w:pPr>
              <w:jc w:val="left"/>
            </w:pPr>
            <w:r>
              <w:rPr>
                <w:rFonts w:ascii="Noto Sans CJK SC" w:hAnsi="Noto Sans CJK SC" w:eastAsia="Noto Sans CJK SC"/>
                <w:sz w:val="17"/>
              </w:rPr>
              <w:t>单个强脉冲源的有效失效时间比例</w:t>
            </w:r>
          </w:p>
        </w:tc>
      </w:tr>
      <w:tr>
        <w:trPr>
          <w:cantSplit/>
        </w:trPr>
        <w:tc>
          <w:tcPr>
            <w:tcW w:type="dxa" w:w="4025"/>
            <w:tcMar>
              <w:top w:w="90" w:type="dxa"/>
              <w:start w:w="110" w:type="dxa"/>
              <w:bottom w:w="90" w:type="dxa"/>
              <w:end w:w="110" w:type="dxa"/>
            </w:tcMar>
            <w:vAlign w:val="center"/>
            <w:shd w:fill="EEF5FA"/>
          </w:tcPr>
          <w:p>
            <w:pPr>
              <w:jc w:val="center"/>
            </w:pPr>
            <w:r>
              <w:rPr>
                <w:rFonts w:ascii="Noto Sans CJK SC" w:hAnsi="Noto Sans CJK SC" w:eastAsia="Noto Sans CJK SC"/>
                <w:sz w:val="17"/>
              </w:rPr>
              <w:t>PDC_agg=1−∏(1−PDC_j)</w:t>
            </w:r>
          </w:p>
        </w:tc>
        <w:tc>
          <w:tcPr>
            <w:tcW w:type="dxa" w:w="4876"/>
            <w:tcMar>
              <w:top w:w="90" w:type="dxa"/>
              <w:start w:w="110" w:type="dxa"/>
              <w:bottom w:w="90" w:type="dxa"/>
              <w:end w:w="110" w:type="dxa"/>
            </w:tcMar>
            <w:vAlign w:val="center"/>
            <w:shd w:fill="EEF5FA"/>
          </w:tcPr>
          <w:p>
            <w:pPr>
              <w:jc w:val="left"/>
            </w:pPr>
            <w:r>
              <w:rPr>
                <w:rFonts w:ascii="Noto Sans CJK SC" w:hAnsi="Noto Sans CJK SC" w:eastAsia="Noto Sans CJK SC"/>
                <w:sz w:val="17"/>
              </w:rPr>
              <w:t>多个强脉冲源的净聚合</w:t>
            </w:r>
          </w:p>
        </w:tc>
      </w:tr>
      <w:tr>
        <w:trPr>
          <w:cantSplit/>
        </w:trPr>
        <w:tc>
          <w:tcPr>
            <w:tcW w:type="dxa" w:w="4025"/>
            <w:tcMar>
              <w:top w:w="90" w:type="dxa"/>
              <w:start w:w="110" w:type="dxa"/>
              <w:bottom w:w="90" w:type="dxa"/>
              <w:end w:w="110" w:type="dxa"/>
            </w:tcMar>
            <w:vAlign w:val="center"/>
          </w:tcPr>
          <w:p>
            <w:pPr>
              <w:jc w:val="center"/>
            </w:pPr>
            <w:r>
              <w:rPr>
                <w:rFonts w:ascii="Noto Sans CJK SC" w:hAnsi="Noto Sans CJK SC" w:eastAsia="Noto Sans CJK SC"/>
                <w:sz w:val="17"/>
              </w:rPr>
              <w:t>RI=Σ[P_i dc_i/(N0 BW)]</w:t>
            </w:r>
          </w:p>
        </w:tc>
        <w:tc>
          <w:tcPr>
            <w:tcW w:type="dxa" w:w="4876"/>
            <w:tcMar>
              <w:top w:w="90" w:type="dxa"/>
              <w:start w:w="110" w:type="dxa"/>
              <w:bottom w:w="90" w:type="dxa"/>
              <w:end w:w="110" w:type="dxa"/>
            </w:tcMar>
            <w:vAlign w:val="center"/>
          </w:tcPr>
          <w:p>
            <w:pPr>
              <w:jc w:val="left"/>
            </w:pPr>
            <w:r>
              <w:rPr>
                <w:rFonts w:ascii="Noto Sans CJK SC" w:hAnsi="Noto Sans CJK SC" w:eastAsia="Noto Sans CJK SC"/>
                <w:sz w:val="17"/>
              </w:rPr>
              <w:t>多个弱脉冲源的等效噪声比</w:t>
            </w:r>
          </w:p>
        </w:tc>
      </w:tr>
      <w:tr>
        <w:trPr>
          <w:cantSplit/>
        </w:trPr>
        <w:tc>
          <w:tcPr>
            <w:tcW w:type="dxa" w:w="4025"/>
            <w:tcMar>
              <w:top w:w="90" w:type="dxa"/>
              <w:start w:w="110" w:type="dxa"/>
              <w:bottom w:w="90" w:type="dxa"/>
              <w:end w:w="110" w:type="dxa"/>
            </w:tcMar>
            <w:vAlign w:val="center"/>
            <w:shd w:fill="EEF5FA"/>
          </w:tcPr>
          <w:p>
            <w:pPr>
              <w:jc w:val="center"/>
            </w:pPr>
            <w:r>
              <w:rPr>
                <w:rFonts w:ascii="Noto Sans CJK SC" w:hAnsi="Noto Sans CJK SC" w:eastAsia="Noto Sans CJK SC"/>
                <w:sz w:val="17"/>
              </w:rPr>
              <w:t>PW_eff=PW(BW_overlap/BW_chirp)</w:t>
            </w:r>
          </w:p>
        </w:tc>
        <w:tc>
          <w:tcPr>
            <w:tcW w:type="dxa" w:w="4876"/>
            <w:tcMar>
              <w:top w:w="90" w:type="dxa"/>
              <w:start w:w="110" w:type="dxa"/>
              <w:bottom w:w="90" w:type="dxa"/>
              <w:end w:w="110" w:type="dxa"/>
            </w:tcMar>
            <w:vAlign w:val="center"/>
            <w:shd w:fill="EEF5FA"/>
          </w:tcPr>
          <w:p>
            <w:pPr>
              <w:jc w:val="left"/>
            </w:pPr>
            <w:r>
              <w:rPr>
                <w:rFonts w:ascii="Noto Sans CJK SC" w:hAnsi="Noto Sans CJK SC" w:eastAsia="Noto Sans CJK SC"/>
                <w:sz w:val="17"/>
              </w:rPr>
              <w:t>宽带chirp只部分进入接收通带时修正脉宽</w:t>
            </w:r>
          </w:p>
        </w:tc>
      </w:tr>
      <w:tr>
        <w:trPr>
          <w:cantSplit/>
        </w:trPr>
        <w:tc>
          <w:tcPr>
            <w:tcW w:type="dxa" w:w="4025"/>
            <w:tcMar>
              <w:top w:w="90" w:type="dxa"/>
              <w:start w:w="110" w:type="dxa"/>
              <w:bottom w:w="90" w:type="dxa"/>
              <w:end w:w="110" w:type="dxa"/>
            </w:tcMar>
            <w:vAlign w:val="center"/>
          </w:tcPr>
          <w:p>
            <w:pPr>
              <w:jc w:val="center"/>
            </w:pPr>
            <w:r>
              <w:rPr>
                <w:rFonts w:ascii="Noto Sans CJK SC" w:hAnsi="Noto Sans CJK SC" w:eastAsia="Noto Sans CJK SC"/>
                <w:sz w:val="17"/>
              </w:rPr>
              <w:t>PRF_eff=PRF(τobs/Tc)</w:t>
            </w:r>
          </w:p>
        </w:tc>
        <w:tc>
          <w:tcPr>
            <w:tcW w:type="dxa" w:w="4876"/>
            <w:tcMar>
              <w:top w:w="90" w:type="dxa"/>
              <w:start w:w="110" w:type="dxa"/>
              <w:bottom w:w="90" w:type="dxa"/>
              <w:end w:w="110" w:type="dxa"/>
            </w:tcMar>
            <w:vAlign w:val="center"/>
          </w:tcPr>
          <w:p>
            <w:pPr>
              <w:jc w:val="left"/>
            </w:pPr>
            <w:r>
              <w:rPr>
                <w:rFonts w:ascii="Noto Sans CJK SC" w:hAnsi="Noto Sans CJK SC" w:eastAsia="Noto Sans CJK SC"/>
                <w:sz w:val="17"/>
              </w:rPr>
              <w:t>特定极窄环路接收机的快速扫描折减；不能普遍采用</w:t>
            </w:r>
          </w:p>
        </w:tc>
      </w:tr>
      <w:tr>
        <w:trPr>
          <w:cantSplit/>
        </w:trPr>
        <w:tc>
          <w:tcPr>
            <w:tcW w:type="dxa" w:w="4025"/>
            <w:tcMar>
              <w:top w:w="90" w:type="dxa"/>
              <w:start w:w="110" w:type="dxa"/>
              <w:bottom w:w="90" w:type="dxa"/>
              <w:end w:w="110" w:type="dxa"/>
            </w:tcMar>
            <w:vAlign w:val="center"/>
            <w:shd w:fill="EEF5FA"/>
          </w:tcPr>
          <w:p>
            <w:pPr>
              <w:jc w:val="center"/>
            </w:pPr>
            <w:r>
              <w:rPr>
                <w:rFonts w:ascii="Noto Sans CJK SC" w:hAnsi="Noto Sans CJK SC" w:eastAsia="Noto Sans CJK SC"/>
                <w:sz w:val="17"/>
              </w:rPr>
              <w:t>D=10log10(N0,EFF+Y/N0,EFF)</w:t>
            </w:r>
          </w:p>
        </w:tc>
        <w:tc>
          <w:tcPr>
            <w:tcW w:type="dxa" w:w="4876"/>
            <w:tcMar>
              <w:top w:w="90" w:type="dxa"/>
              <w:start w:w="110" w:type="dxa"/>
              <w:bottom w:w="90" w:type="dxa"/>
              <w:end w:w="110" w:type="dxa"/>
            </w:tcMar>
            <w:vAlign w:val="center"/>
            <w:shd w:fill="EEF5FA"/>
          </w:tcPr>
          <w:p>
            <w:pPr>
              <w:jc w:val="left"/>
            </w:pPr>
            <w:r>
              <w:rPr>
                <w:rFonts w:ascii="Noto Sans CJK SC" w:hAnsi="Noto Sans CJK SC" w:eastAsia="Noto Sans CJK SC"/>
                <w:sz w:val="17"/>
              </w:rPr>
              <w:t>把新增源转换为相对基线的性能劣化</w:t>
            </w:r>
          </w:p>
        </w:tc>
      </w:tr>
    </w:tbl>
    <w:p>
      <w:pPr>
        <w:spacing w:after="0"/>
      </w:pPr>
    </w:p>
    <w:p>
      <w:pPr>
        <w:pStyle w:val="Heading1"/>
        <w:keepNext/>
        <w:spacing w:before="300" w:after="160"/>
      </w:pPr>
      <w:r>
        <w:rPr>
          <w:rFonts w:ascii="Noto Serif CJK SC" w:hAnsi="Noto Serif CJK SC" w:eastAsia="Noto Serif CJK SC"/>
          <w:b/>
          <w:color w:val="1F4E78"/>
          <w:sz w:val="32"/>
        </w:rPr>
        <w:t>附录B：官方原文入口</w:t>
      </w:r>
    </w:p>
    <w:p>
      <w:pPr>
        <w:spacing w:before="0" w:after="120" w:line="341" w:lineRule="auto"/>
      </w:pPr>
      <w:r>
        <w:rPr>
          <w:rFonts w:ascii="Noto Sans CJK SC" w:hAnsi="Noto Sans CJK SC" w:eastAsia="Noto Sans CJK SC"/>
          <w:b/>
        </w:rPr>
        <w:t>Report ITU-R M.2220-1：</w:t>
      </w:r>
      <w:hyperlink r:id="rId15">
        <w:r>
          <w:rPr>
            <w:color w:val="0563C1"/>
            <w:u w:val="single"/>
          </w:rPr>
          <w:t>官方英文PDF</w:t>
        </w:r>
      </w:hyperlink>
    </w:p>
    <w:p>
      <w:pPr>
        <w:spacing w:before="0" w:after="120" w:line="341" w:lineRule="auto"/>
      </w:pPr>
      <w:r>
        <w:rPr>
          <w:rFonts w:ascii="Noto Sans CJK SC" w:hAnsi="Noto Sans CJK SC" w:eastAsia="Noto Sans CJK SC"/>
          <w:b/>
        </w:rPr>
        <w:t>Report ITU-R M.2305-1：</w:t>
      </w:r>
      <w:hyperlink r:id="rId16">
        <w:r>
          <w:rPr>
            <w:color w:val="0563C1"/>
            <w:u w:val="single"/>
          </w:rPr>
          <w:t>官方英文PDF</w:t>
        </w:r>
      </w:hyperlink>
    </w:p>
    <w:p>
      <w:pPr>
        <w:spacing w:before="0" w:after="120" w:line="341" w:lineRule="auto"/>
      </w:pPr>
      <w:r>
        <w:rPr>
          <w:rFonts w:ascii="Noto Sans CJK SC" w:hAnsi="Noto Sans CJK SC" w:eastAsia="Noto Sans CJK SC"/>
          <w:b/>
        </w:rPr>
        <w:t>Recommendation ITU-R M.2030：</w:t>
      </w:r>
      <w:hyperlink r:id="rId17">
        <w:r>
          <w:rPr>
            <w:color w:val="0563C1"/>
            <w:u w:val="single"/>
          </w:rPr>
          <w:t>ITU官方版本页面</w:t>
        </w:r>
      </w:hyperlink>
    </w:p>
    <w:p>
      <w:pPr>
        <w:spacing w:before="0" w:after="120" w:line="341" w:lineRule="auto"/>
      </w:pPr>
      <w:r>
        <w:rPr>
          <w:rFonts w:ascii="Noto Sans CJK SC" w:hAnsi="Noto Sans CJK SC" w:eastAsia="Noto Sans CJK SC"/>
          <w:b/>
        </w:rPr>
        <w:t>Report ITU-R RS.2537-0：</w:t>
      </w:r>
      <w:hyperlink r:id="rId18">
        <w:r>
          <w:rPr>
            <w:color w:val="0563C1"/>
            <w:u w:val="single"/>
          </w:rPr>
          <w:t>ITU官方版本页面</w:t>
        </w:r>
      </w:hyperlink>
    </w:p>
    <w:tbl>
      <w:tblPr>
        <w:tblW w:type="auto" w:w="0"/>
        <w:jc w:val="center"/>
        <w:tblLook w:firstColumn="1" w:firstRow="1" w:lastColumn="0" w:lastRow="0" w:noHBand="0" w:noVBand="1" w:val="04A0"/>
      </w:tblPr>
      <w:tblGrid>
        <w:gridCol w:w="9468"/>
      </w:tblGrid>
      <w:tr>
        <w:tc>
          <w:tcPr>
            <w:tcW w:type="dxa" w:w="9468"/>
            <w:shd w:fill="F2F2F2"/>
            <w:tcMar>
              <w:top w:w="130" w:type="dxa"/>
              <w:start w:w="170" w:type="dxa"/>
              <w:bottom w:w="130" w:type="dxa"/>
              <w:end w:w="170" w:type="dxa"/>
            </w:tcMar>
          </w:tcPr>
          <w:p>
            <w:r>
              <w:rPr>
                <w:rFonts w:ascii="Noto Sans CJK SC" w:hAnsi="Noto Sans CJK SC" w:eastAsia="Noto Sans CJK SC"/>
                <w:b/>
                <w:color w:val="1F4E78"/>
              </w:rPr>
              <w:t>证据边界</w:t>
            </w:r>
          </w:p>
          <w:p>
            <w:pPr>
              <w:spacing w:before="0" w:after="0" w:line="331" w:lineRule="auto"/>
            </w:pPr>
            <w:r>
              <w:rPr>
                <w:rFonts w:ascii="Noto Sans CJK SC" w:hAnsi="Noto Sans CJK SC" w:eastAsia="Noto Sans CJK SC"/>
              </w:rPr>
              <w:t>正文中的报告结构、参数、算例和结论均来自两份ITU-R原文。“项目落地流程”“最小参数清单”和部分解释性表述属于基于原文方法的工程化整理，不应被表述为ITU-R逐字规定。</w:t>
            </w:r>
          </w:p>
        </w:tc>
      </w:tr>
    </w:tbl>
    <w:p>
      <w:pPr>
        <w:spacing w:after="0"/>
      </w:pPr>
    </w:p>
    <w:sectPr w:rsidR="00FC693F" w:rsidRPr="0006063C" w:rsidSect="00034616">
      <w:headerReference w:type="default" r:id="rId9"/>
      <w:footerReference w:type="default" r:id="rId10"/>
      <w:pgSz w:w="11906" w:h="16838"/>
      <w:pgMar w:top="1162" w:right="1162"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7"/>
      </w:rPr>
      <w:t>ITU-R M.2220-1与M.2305-1详细解读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itu.int/dms_pub/itu-r/opb/rep/R-REP-M.2220-1-2021-PDF-E.pdf" TargetMode="External"/><Relationship Id="rId16" Type="http://schemas.openxmlformats.org/officeDocument/2006/relationships/hyperlink" Target="https://www.itu.int/dms_pub/itu-r/opb/rep/R-REP-M.2305-1-2026-PDF-E.pdf" TargetMode="External"/><Relationship Id="rId17" Type="http://schemas.openxmlformats.org/officeDocument/2006/relationships/hyperlink" Target="https://www.itu.int/rec/R-REC-M.2030/en" TargetMode="External"/><Relationship Id="rId18" Type="http://schemas.openxmlformats.org/officeDocument/2006/relationships/hyperlink" Target="https://www.itu.int/pub/R-REP-RS.2537-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