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Arial" w:hAnsi="Arial" w:eastAsia="Noto Sans CJK SC"/>
          <w:b/>
          <w:i w:val="0"/>
          <w:color w:val="1F4E78"/>
          <w:sz w:val="48"/>
        </w:rPr>
        <w:t>ITU-R M.2046-0 与</w:t>
        <w:br/>
        <w:t>Report ITU-R RS.2537-0</w:t>
        <w:br/>
        <w:t>详细解读与工程应用指南</w:t>
      </w:r>
    </w:p>
    <w:p>
      <w:pPr>
        <w:pStyle w:val="Subtitle"/>
        <w:jc w:val="center"/>
      </w:pPr>
      <w:r>
        <w:rPr>
          <w:rFonts w:ascii="Arial" w:hAnsi="Arial" w:eastAsia="Noto Sans CJK SC"/>
          <w:b w:val="0"/>
          <w:i w:val="0"/>
          <w:color w:val="666666"/>
          <w:sz w:val="24"/>
        </w:rPr>
        <w:t>非GSO移动卫星系统保护准则 · 星载SAR对RNSS脉冲干扰评估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0"/>
        <w:gridCol w:w="4790"/>
      </w:tblGrid>
      <w:tr>
        <w:tc>
          <w:tcPr>
            <w:tcW w:type="dxa" w:w="479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文献一</w:t>
            </w:r>
          </w:p>
        </w:tc>
        <w:tc>
          <w:tcPr>
            <w:tcW w:type="dxa" w:w="479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Recommendation ITU-R M.2046-0（12/2013，现行主版本）</w:t>
            </w:r>
          </w:p>
        </w:tc>
      </w:tr>
      <w:tr>
        <w:tc>
          <w:tcPr>
            <w:tcW w:type="dxa" w:w="479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文献二</w:t>
            </w:r>
          </w:p>
        </w:tc>
        <w:tc>
          <w:tcPr>
            <w:tcW w:type="dxa" w:w="479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Report ITU-R RS.2537-0（09/2023，现行报告）</w:t>
            </w:r>
          </w:p>
        </w:tc>
      </w:tr>
      <w:tr>
        <w:tc>
          <w:tcPr>
            <w:tcW w:type="dxa" w:w="479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编制目的</w:t>
            </w:r>
          </w:p>
        </w:tc>
        <w:tc>
          <w:tcPr>
            <w:tcW w:type="dxa" w:w="479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用易于理解的方式梳理研究对象、参数、公式、判据、算例与工程使用边界</w:t>
            </w:r>
          </w:p>
        </w:tc>
      </w:tr>
      <w:tr>
        <w:tc>
          <w:tcPr>
            <w:tcW w:type="dxa" w:w="479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版本核对日期</w:t>
            </w:r>
          </w:p>
        </w:tc>
        <w:tc>
          <w:tcPr>
            <w:tcW w:type="dxa" w:w="4790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2026年9月17日</w:t>
            </w:r>
          </w:p>
        </w:tc>
      </w:tr>
    </w:tbl>
    <w:p/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说明：本文为技术研读与工程方法提炼，不替代ITU正式文本、现行《无线电规则》或主管部门的频率指配与协调结论。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SmallTextCN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提示：在Word中右击目录并选择“更新域”，即可显示或刷新页码。</w:t>
      </w:r>
    </w:p>
    <w:p>
      <w:r>
        <w:br w:type="page"/>
      </w:r>
    </w:p>
    <w:p>
      <w:pPr>
        <w:pStyle w:val="Heading1"/>
      </w:pPr>
      <w:r>
        <w:t>1  两份文献的定位与关系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先建立正确认识：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M.2046-0是ITU-R建议书，给出一个具体非GSO移动卫星系统（ARGOS4）在399.9–400.05 MHz上行频段的系统描述和保护准则；RS.2537-0是ITU-R报告，给出1215–1300 MHz星载SAR对RNSS地面接收机脉冲干扰的代表性参数、分析方法和算例。两者频段、系统和干扰机理不同，数值不能相互套用，但“从接收机机理推导保护准则”的方法可以互相借鉴。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D9EAF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M.2046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399.9–400.05 MHz</w:t>
              <w:br/>
              <w:t>非GSO MSS上行</w:t>
            </w:r>
          </w:p>
        </w:tc>
        <w:tc>
          <w:tcPr>
            <w:tcW w:type="dxa" w:w="2395"/>
            <w:shd w:fill="E2F0D9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核心机理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宽带噪声抬升噪声底；窄带谱线占用检测资源</w:t>
            </w:r>
          </w:p>
        </w:tc>
        <w:tc>
          <w:tcPr>
            <w:tcW w:type="dxa" w:w="2395"/>
            <w:shd w:fill="FFF2CC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RS.2537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1215–1300 MHz</w:t>
              <w:br/>
              <w:t>SAR脉冲干扰RNSS</w:t>
            </w:r>
          </w:p>
        </w:tc>
        <w:tc>
          <w:tcPr>
            <w:tcW w:type="dxa" w:w="2395"/>
            <w:shd w:fill="FCE4D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共同方法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接收功率→接收机响应→性能劣化→时间概率/保护判据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M.2046的重点是“受扰系统能承受多少干扰”。它从ARGOS4的噪声温度、最低可用信号、误码率目标和载波检测结构出发，分别推导宽带噪声和窄带干扰门限。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RS.2537的重点是“如何把星载SAR脉冲参数转换为RNSS接收机性能劣化”。它先检查前端损坏与饱和，再根据脉冲占空比、接收机恢复时间和频谱重叠计算有效信号损失，并与RNSS允许劣化比比较。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比较维度</w:t>
            </w:r>
          </w:p>
        </w:tc>
        <w:tc>
          <w:tcPr>
            <w:tcW w:type="dxa" w:w="385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ITU-R M.2046-0</w:t>
            </w:r>
          </w:p>
        </w:tc>
        <w:tc>
          <w:tcPr>
            <w:tcW w:type="dxa" w:w="385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Report ITU-R RS.2537-0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文献性质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建议书：给出推荐保护准则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报告：给出技术参数、分析方法与算例</w:t>
            </w:r>
          </w:p>
        </w:tc>
      </w:tr>
      <w:tr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频段</w:t>
            </w:r>
          </w:p>
        </w:tc>
        <w:tc>
          <w:tcPr>
            <w:tcW w:type="dxa" w:w="385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399.9–400.05 MHz</w:t>
            </w:r>
          </w:p>
        </w:tc>
        <w:tc>
          <w:tcPr>
            <w:tcW w:type="dxa" w:w="385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1215–1300 MHz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受扰系统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非GSO MSS ARGOS4星上接收机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RNSS空对地接收地球站</w:t>
            </w:r>
          </w:p>
        </w:tc>
      </w:tr>
      <w:tr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干扰方向</w:t>
            </w:r>
          </w:p>
        </w:tc>
        <w:tc>
          <w:tcPr>
            <w:tcW w:type="dxa" w:w="385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地面发射源→低轨卫星</w:t>
            </w:r>
          </w:p>
        </w:tc>
        <w:tc>
          <w:tcPr>
            <w:tcW w:type="dxa" w:w="385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星载SAR→地面RNSS接收机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主要干扰类型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宽带噪声、窄带谱线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强/弱脉冲RFI，叠加连续干扰</w:t>
            </w:r>
          </w:p>
        </w:tc>
      </w:tr>
      <w:tr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最终指标</w:t>
            </w:r>
          </w:p>
        </w:tc>
        <w:tc>
          <w:tcPr>
            <w:tcW w:type="dxa" w:w="385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spfd或pfd＋不超过1%时间</w:t>
            </w:r>
          </w:p>
        </w:tc>
        <w:tc>
          <w:tcPr>
            <w:tcW w:type="dxa" w:w="385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峰值功率、生存/饱和、PDC、等效噪声劣化比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工程作用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规定保护ARGOS4所需的输入干扰上限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给出SAR–RNSS初步兼容性评估流程</w:t>
            </w:r>
          </w:p>
        </w:tc>
      </w:tr>
    </w:tbl>
    <w:p>
      <w:pPr>
        <w:spacing w:after="0"/>
      </w:pPr>
    </w:p>
    <w:p>
      <w:pPr>
        <w:pStyle w:val="Heading1"/>
      </w:pPr>
      <w:r>
        <w:t>2  ITU-R M.2046-0：ARGOS4非GSO移动卫星系统的特性与保护准则</w:t>
      </w:r>
    </w:p>
    <w:p>
      <w:pPr>
        <w:pStyle w:val="Heading2"/>
      </w:pPr>
      <w:r>
        <w:t>2.1  文献要解决的问题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M.2046-0描述了一个在399.9–400.05 MHz频段工作、方向为地对空的非GSO移动卫星业务系统，并给出保护该系统免受宽带噪声和窄带干扰的准则。建议书采用的代表系统是ARGOS4数据采集系统，因此文中门限首先是ARGOS4专用门限，而不是所有400 MHz卫星接收机的通用门限。</w:t>
      </w:r>
    </w:p>
    <w:p>
      <w:pPr>
        <w:pStyle w:val="SourceNote"/>
        <w:ind w:left="227" w:hanging="227"/>
      </w:pPr>
      <w:r>
        <w:rPr>
          <w:rFonts w:ascii="Arial" w:hAnsi="Arial" w:eastAsia="Noto Sans CJK SC"/>
          <w:b w:val="0"/>
          <w:i/>
          <w:color w:val="666666"/>
          <w:sz w:val="17"/>
        </w:rPr>
        <w:t>来源与定位：Recommendation ITU-R M.2046-0，Scope、recommends 1–2及Annex 1。ITU官方目录将M.2046-0列为现行主版本。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频段理解：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该建议书形成于2013年。正文中关于RNSS在该频段的历史性划分日期应按当时《无线电规则》理解；开展当前项目时仍需另行核对最新《无线电规则》和国家频率划分。</w:t>
            </w:r>
          </w:p>
        </w:tc>
      </w:tr>
    </w:tbl>
    <w:p>
      <w:pPr>
        <w:spacing w:after="0"/>
      </w:pPr>
    </w:p>
    <w:p>
      <w:pPr>
        <w:pStyle w:val="Heading2"/>
      </w:pPr>
      <w:r>
        <w:t>2.2  ARGOS4系统怎样工作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D9EAF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数据采集平台DCP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传感器、浮标、动物跟踪器等</w:t>
              <w:br/>
              <w:t>通常低增益天线</w:t>
            </w:r>
          </w:p>
        </w:tc>
        <w:tc>
          <w:tcPr>
            <w:tcW w:type="dxa" w:w="2395"/>
            <w:shd w:fill="E2F0D9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399.9–400.05 MHz上行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400 bit/s</w:t>
              <w:br/>
              <w:t>Manchester编码PSK</w:t>
              <w:br/>
              <w:t>消息前含160 ms纯载波</w:t>
            </w:r>
          </w:p>
        </w:tc>
        <w:tc>
          <w:tcPr>
            <w:tcW w:type="dxa" w:w="2395"/>
            <w:shd w:fill="FFF2CC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低轨ARGOS4卫星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星上解调并复用</w:t>
              <w:br/>
              <w:t>载荷接收机搜索弱载波</w:t>
            </w:r>
          </w:p>
        </w:tc>
        <w:tc>
          <w:tcPr>
            <w:tcW w:type="dxa" w:w="2395"/>
            <w:shd w:fill="FCE4D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任务数据下传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1670–1710、7750–7850、8025–8400 MHz；另有465.9875 MHz专用下行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ARGOS数据采集平台通常功率较低、天线增益较小，且环境和安装方式差异大。卫星接收机必须从大范围覆盖区内同时发现并处理许多弱信号。系统采用星上解调，因此上行接收性能可以与后续下行链路性能分开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原文代表值</w:t>
            </w:r>
          </w:p>
        </w:tc>
        <w:tc>
          <w:tcPr>
            <w:tcW w:type="dxa" w:w="487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易懂解释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上行频段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399.9–400.05 MHz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DCP向低轨卫星发送数据</w:t>
            </w:r>
          </w:p>
        </w:tc>
      </w:tr>
      <w:tr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数据速率</w:t>
            </w:r>
          </w:p>
        </w:tc>
        <w:tc>
          <w:tcPr>
            <w:tcW w:type="dxa" w:w="283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400 bit/s</w:t>
            </w:r>
          </w:p>
        </w:tc>
        <w:tc>
          <w:tcPr>
            <w:tcW w:type="dxa" w:w="4876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低速遥测，强调覆盖与低功耗而非高速率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调制/编码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Manchester编码、PSK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便于时钟恢复与星上解调</w:t>
            </w:r>
          </w:p>
        </w:tc>
      </w:tr>
      <w:tr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消息前导</w:t>
            </w:r>
          </w:p>
        </w:tc>
        <w:tc>
          <w:tcPr>
            <w:tcW w:type="dxa" w:w="283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160 ms未调制载波</w:t>
            </w:r>
          </w:p>
        </w:tc>
        <w:tc>
          <w:tcPr>
            <w:tcW w:type="dxa" w:w="4876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供星上频谱分析器发现载波并建立锁定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DCP天线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典型低增益；40°仰角最大约3 dBi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平台形态和安装环境使接收功率差别较大</w:t>
            </w:r>
          </w:p>
        </w:tc>
      </w:tr>
      <w:tr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卫星接收天线</w:t>
            </w:r>
          </w:p>
        </w:tc>
        <w:tc>
          <w:tcPr>
            <w:tcW w:type="dxa" w:w="283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RHCP/LHCP增益随卫星天底角变化</w:t>
            </w:r>
          </w:p>
        </w:tc>
        <w:tc>
          <w:tcPr>
            <w:tcW w:type="dxa" w:w="4876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必须用动态方向增益，不能始终使用峰值增益</w:t>
            </w:r>
          </w:p>
        </w:tc>
      </w:tr>
    </w:tbl>
    <w:p>
      <w:pPr>
        <w:spacing w:after="0"/>
      </w:pPr>
    </w:p>
    <w:p>
      <w:pPr>
        <w:pStyle w:val="Heading2"/>
      </w:pPr>
      <w:r>
        <w:t>2.3  为什么要分别规定宽带和窄带干扰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58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干扰类型</w:t>
            </w:r>
          </w:p>
        </w:tc>
        <w:tc>
          <w:tcPr>
            <w:tcW w:type="dxa" w:w="29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接收机看到的现象</w:t>
            </w:r>
          </w:p>
        </w:tc>
        <w:tc>
          <w:tcPr>
            <w:tcW w:type="dxa" w:w="289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主要后果</w:t>
            </w:r>
          </w:p>
        </w:tc>
        <w:tc>
          <w:tcPr>
            <w:tcW w:type="dxa" w:w="209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保护量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宽带噪声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整个接收带宽内噪声底升高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Eb/N0下降、误码率上升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频谱功率通量密度spfd</w:t>
            </w:r>
          </w:p>
        </w:tc>
      </w:tr>
      <w:tr>
        <w:tc>
          <w:tcPr>
            <w:tcW w:type="dxa" w:w="158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窄带干扰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FFT中出现离散谱线，类似消息前导纯载波</w:t>
            </w:r>
          </w:p>
        </w:tc>
        <w:tc>
          <w:tcPr>
            <w:tcW w:type="dxa" w:w="289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触发虚假检测、占用星上数据恢复单元，降低并发容量</w:t>
            </w:r>
          </w:p>
        </w:tc>
        <w:tc>
          <w:tcPr>
            <w:tcW w:type="dxa" w:w="209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19 Hz分辨带宽内pfd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这一区分十分关键。宽带噪声主要是“把噪声底抬高”；窄带干扰即使总功率不大，只要在一个很窄的频率单元中形成明显谱线，也可能被接收机误认为ARGOS信标前导，从而消耗处理资源。</w:t>
      </w:r>
    </w:p>
    <w:p>
      <w:pPr>
        <w:pStyle w:val="Heading2"/>
      </w:pPr>
      <w:r>
        <w:t>2.4  宽带噪声保护准则如何推导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1. 建立接收机噪声基线：噪声系数3 dB，最坏背景噪声温度1200 K，天线至接收机损耗1.6 dB，得到接收机输入系统噪声温度1214 K。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2. 将系统噪声温度换算为噪声谱密度：N₀ = −197.8 dB(W/Hz)。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3. 采用最低接收信号C = −160 dBW。该条件下有效Eb/N₀约为8.3 dB。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4. 为达到BER = 2×10⁻⁴，需要的最低Eb/N₀约为8 dB，因此新增干扰最多只能消耗0.3 dB余量。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5. 把0.3 dB退化换算为新增噪声与热噪声之比，得到I₀/N₀约为−11.5 dB，I₀ = −209.3 dB(W/Hz)。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6. 根据天线峰值方向的有效孔径0.105 m²，并补偿1.6 dB馈线损耗，将接收机输入噪声密度换算为空间中的spfd门限。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0.3 dB = 10·log₁₀[(N₀ + I₀)/N₀]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新增宽带干扰只允许使总噪声增加0.3 dB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I₀/N₀ = 10^(0.3/10) − 1 ≈ 0.0715 ≈ −11.5 dB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新增干扰噪声约为热噪声的7.15%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Aₑ = G·λ²/(4π)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用接收天线增益把接收功率密度换算为空间功率通量密度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宽带保护结果：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ARGOS4接收天线处的最大可接受聚合宽带噪声spfd为 −197.9 dB(W/(m²·Hz))，在卫星视场内超过该值的时间不得超过1%。对典型1600 Hz ARGOS4信号带宽，等效pfd约为 −165.8 dB(W/m²)。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原文还指出，按ITU-R M.1475的性能目标推导，相关不可用时间可能只有0.018%；M.2046最终采用1%作为建议书中的时间判据。文献没有进一步解释为何选择更宽松的1%，因此项目中不应自行把这个1%解释为接收机物理极限。</w:t>
      </w:r>
    </w:p>
    <w:p>
      <w:pPr>
        <w:pStyle w:val="Heading2"/>
      </w:pPr>
      <w:r>
        <w:t>2.5  窄带干扰保护准则如何推导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ARGOS4消息以160 ms纯载波开始。星上接收机用频谱分析器和FFT持续搜索离散载波，频率分辨率为19 Hz。任何超过检测门限的窄带谱线都会被分配给一个星上数据恢复单元（DRU）继续处理。若窄带干扰被误判为信标，就会占用有限的DRU资源，直接降低系统同时处理真实消息的能力。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1. 接收机要求最弱可检测载波满足Cmin/N₀ &gt; 21 dB(Hz)。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2. 采用N₀ = −197.8 dB(W/Hz)，得到接收机输入端Cmin = −176.8 dBW。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3. 补偿天线到接收机之间1.6 dB损耗，换算到天线端为−175.2 dBW。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4. 采用最大天线有效孔径换算为pfd，得到−165.4 dB(W/m²)。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Cmin = N₀ + 21 dB(Hz) = −176.8 dBW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19 Hz谱线只要越过接收机检测门限，就可能触发虚假信标处理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窄带保护结果：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在ARGOS4接收天线处，每个窄带干扰在19 Hz分辨带宽内的最大pfd为 −165.4 dB(W/m²)，超过该值的时间同样不得超过卫星视场时间的1%。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建议书正文使用“每个窄带干扰”来表述门限；附件在结论中同时强调窄带谱线的聚合影响。工程上应逐谱线检查峰值，也要检查多个谱线同时触发处理资源后造成的总容量损失。后一项是基于接收机工作机理的工程解释，原文没有给出统一的DRU占用数量门限。</w:t>
      </w:r>
    </w:p>
    <w:p>
      <w:pPr>
        <w:pStyle w:val="Heading2"/>
      </w:pPr>
      <w:r>
        <w:t>2.6  M.2046最终可直接使用的保护准则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干扰类别</w:t>
            </w:r>
          </w:p>
        </w:tc>
        <w:tc>
          <w:tcPr>
            <w:tcW w:type="dxa" w:w="35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保护准则</w:t>
            </w:r>
          </w:p>
        </w:tc>
        <w:tc>
          <w:tcPr>
            <w:tcW w:type="dxa" w:w="249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统计时间</w:t>
            </w:r>
          </w:p>
        </w:tc>
        <w:tc>
          <w:tcPr>
            <w:tcW w:type="dxa" w:w="209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保护对象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宽带噪声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聚合spfd ≤ −197.9 dB(W/(m²·Hz))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超过门限不得多于卫星视场时间的1%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ARGOS4误码率/噪声余量</w:t>
            </w:r>
          </w:p>
        </w:tc>
      </w:tr>
      <w:tr>
        <w:tc>
          <w:tcPr>
            <w:tcW w:type="dxa" w:w="170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窄带干扰</w:t>
            </w:r>
          </w:p>
        </w:tc>
        <w:tc>
          <w:tcPr>
            <w:tcW w:type="dxa" w:w="357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19 Hz内每个干扰pfd ≤ −165.4 dB(W/m²)</w:t>
            </w:r>
          </w:p>
        </w:tc>
        <w:tc>
          <w:tcPr>
            <w:tcW w:type="dxa" w:w="249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超过门限不得多于卫星视场时间的1%</w:t>
            </w:r>
          </w:p>
        </w:tc>
        <w:tc>
          <w:tcPr>
            <w:tcW w:type="dxa" w:w="209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载波检测与星上处理容量</w:t>
            </w:r>
          </w:p>
        </w:tc>
      </w:tr>
    </w:tbl>
    <w:p>
      <w:pPr>
        <w:spacing w:after="0"/>
      </w:pPr>
    </w:p>
    <w:p>
      <w:pPr>
        <w:pStyle w:val="Heading2"/>
      </w:pPr>
      <w:r>
        <w:t>2.7  参数取值依据与不能直接外推的地方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参数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文献取值</w:t>
            </w:r>
          </w:p>
        </w:tc>
        <w:tc>
          <w:tcPr>
            <w:tcW w:type="dxa" w:w="351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取值依据/含义</w:t>
            </w:r>
          </w:p>
        </w:tc>
        <w:tc>
          <w:tcPr>
            <w:tcW w:type="dxa" w:w="289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项目使用建议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背景噪声温度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1200 K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欧洲工业噪声条件下的最坏实测背景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应按任务区域和在轨测量修正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噪声系数</w:t>
            </w:r>
          </w:p>
        </w:tc>
        <w:tc>
          <w:tcPr>
            <w:tcW w:type="dxa" w:w="170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3 dB</w:t>
            </w:r>
          </w:p>
        </w:tc>
        <w:tc>
          <w:tcPr>
            <w:tcW w:type="dxa" w:w="351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ARGOS4典型接收机参数</w:t>
            </w:r>
          </w:p>
        </w:tc>
        <w:tc>
          <w:tcPr>
            <w:tcW w:type="dxa" w:w="289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不能代替其他星上接收机规格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最低接收信号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−160 dBW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ARGOS4设计最弱工作点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应换成本项目灵敏度/链路预算值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允许Eb/N₀退化</w:t>
            </w:r>
          </w:p>
        </w:tc>
        <w:tc>
          <w:tcPr>
            <w:tcW w:type="dxa" w:w="170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0.3 dB</w:t>
            </w:r>
          </w:p>
        </w:tc>
        <w:tc>
          <w:tcPr>
            <w:tcW w:type="dxa" w:w="351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8.3 dB工作点与8 dB BER要求之差</w:t>
            </w:r>
          </w:p>
        </w:tc>
        <w:tc>
          <w:tcPr>
            <w:tcW w:type="dxa" w:w="289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属于具体波形和译码目标的剩余余量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FFT分辨带宽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19 Hz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ARGOS4纯载波搜索结构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其他接收机的窄带门限会随检测带宽改变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1%时间</w:t>
            </w:r>
          </w:p>
        </w:tc>
        <w:tc>
          <w:tcPr>
            <w:tcW w:type="dxa" w:w="170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卫星视场内</w:t>
            </w:r>
          </w:p>
        </w:tc>
        <w:tc>
          <w:tcPr>
            <w:tcW w:type="dxa" w:w="351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建议书规定的统计判据</w:t>
            </w:r>
          </w:p>
        </w:tc>
        <w:tc>
          <w:tcPr>
            <w:tcW w:type="dxa" w:w="289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应明确统计窗口、卫星视场定义和聚合场景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M.2046的使用边界：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它只描述一个ARGOS4系统，并不提供399.9–400.05 MHz所有MSS系统的统一参数，也没有给出多星座动态聚合仿真的完整流程。使用时应把它视为“接收机专用保护准则”，而不是频段通用I/N门限。</w:t>
            </w:r>
          </w:p>
        </w:tc>
      </w:tr>
    </w:tbl>
    <w:p>
      <w:pPr>
        <w:spacing w:after="0"/>
      </w:pPr>
    </w:p>
    <w:p>
      <w:pPr>
        <w:pStyle w:val="Heading1"/>
      </w:pPr>
      <w:r>
        <w:t>3  Report ITU-R RS.2537-0：星载SAR对RNSS接收机的脉冲干扰评估</w:t>
      </w:r>
    </w:p>
    <w:p>
      <w:pPr>
        <w:pStyle w:val="Heading2"/>
      </w:pPr>
      <w:r>
        <w:t>3.1  报告的目的和适用范围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RS.2537-0面向1215–1300 MHz频段，给出六类代表性星载SAR、若干RNSS地面接收机的参数，以及把SAR脉冲干扰换算为RNSS性能劣化的通用分析方法和算例。它用于单个SAR对单个RNSS空对地接收地球站的初步评估，尚未验证用于航天器上的RNSS空对空接收机。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原报告正文引用Recommendation ITU-R RS.2160作为上层程序文件；该报告发布后，相关正式建议书以RS.2165-0编号批准。本文在介绍原报告时保留其原始引用，在工程关系说明中按现行RS.2165理解。</w:t>
      </w:r>
    </w:p>
    <w:p>
      <w:pPr>
        <w:pStyle w:val="SourceNote"/>
        <w:ind w:left="227" w:hanging="227"/>
      </w:pPr>
      <w:r>
        <w:rPr>
          <w:rFonts w:ascii="Arial" w:hAnsi="Arial" w:eastAsia="Noto Sans CJK SC"/>
          <w:b w:val="0"/>
          <w:i/>
          <w:color w:val="666666"/>
          <w:sz w:val="17"/>
        </w:rPr>
        <w:t>来源与定位：Report ITU-R RS.2537-0，Scope、Annex 1与Annex 2；现行ITU-R报告目录仍列有RS.2537。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报告不是最终协调结论：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RS.2537给出的是“初步、代表性、偏保守”的分析方法。若初评超限，应使用真实轨道、真实天线方向图、实测接收滤波器、实际恢复时间和多源聚合条件进行详细分析。</w:t>
            </w:r>
          </w:p>
        </w:tc>
      </w:tr>
    </w:tbl>
    <w:p>
      <w:pPr>
        <w:spacing w:after="0"/>
      </w:pPr>
    </w:p>
    <w:p>
      <w:pPr>
        <w:pStyle w:val="Heading2"/>
      </w:pPr>
      <w:r>
        <w:t>3.2  六类代表性SAR参数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blHeader w:val="true"/>
        </w:trPr>
        <w:tc>
          <w:tcPr>
            <w:tcW w:type="dxa" w:w="8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系统</w:t>
            </w:r>
          </w:p>
        </w:tc>
        <w:tc>
          <w:tcPr>
            <w:tcW w:type="dxa" w:w="10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高度 km</w:t>
            </w:r>
          </w:p>
        </w:tc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峰值功率 W</w:t>
            </w:r>
          </w:p>
        </w:tc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天线增益/峰值EIRP dB</w:t>
            </w:r>
          </w:p>
        </w:tc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带宽 MHz</w:t>
            </w:r>
          </w:p>
        </w:tc>
        <w:tc>
          <w:tcPr>
            <w:tcW w:type="dxa" w:w="10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脉宽 μs</w:t>
            </w:r>
          </w:p>
        </w:tc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最大PRF Hz</w:t>
            </w:r>
          </w:p>
        </w:tc>
        <w:tc>
          <w:tcPr>
            <w:tcW w:type="dxa" w:w="96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占空比 %</w:t>
            </w:r>
          </w:p>
        </w:tc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5"/>
              </w:rPr>
              <w:t>视角 °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5"/>
              </w:rPr>
              <w:t>SAR1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400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3200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36.4 / 71.5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40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33.8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1736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5.87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20–55</w:t>
            </w:r>
          </w:p>
        </w:tc>
      </w:tr>
      <w:tr>
        <w:tc>
          <w:tcPr>
            <w:tcW w:type="dxa" w:w="85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5"/>
              </w:rPr>
              <w:t>SAR2</w:t>
            </w:r>
          </w:p>
        </w:tc>
        <w:tc>
          <w:tcPr>
            <w:tcW w:type="dxa" w:w="102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568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1200</w:t>
            </w:r>
          </w:p>
        </w:tc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33.0 / 63.8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15</w:t>
            </w:r>
          </w:p>
        </w:tc>
        <w:tc>
          <w:tcPr>
            <w:tcW w:type="dxa" w:w="102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35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1607</w:t>
            </w:r>
          </w:p>
        </w:tc>
        <w:tc>
          <w:tcPr>
            <w:tcW w:type="dxa" w:w="96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5.62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35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5"/>
              </w:rPr>
              <w:t>SAR3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757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3200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35.0 / 68.4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78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78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2400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18.7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30</w:t>
            </w:r>
          </w:p>
        </w:tc>
      </w:tr>
      <w:tr>
        <w:tc>
          <w:tcPr>
            <w:tcW w:type="dxa" w:w="85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5"/>
              </w:rPr>
              <w:t>SAR4</w:t>
            </w:r>
          </w:p>
        </w:tc>
        <w:tc>
          <w:tcPr>
            <w:tcW w:type="dxa" w:w="102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628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3950</w:t>
            </w:r>
          </w:p>
        </w:tc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34.7 / 70.7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84</w:t>
            </w:r>
          </w:p>
        </w:tc>
        <w:tc>
          <w:tcPr>
            <w:tcW w:type="dxa" w:w="102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43–71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1620–2670</w:t>
            </w:r>
          </w:p>
        </w:tc>
        <w:tc>
          <w:tcPr>
            <w:tcW w:type="dxa" w:w="96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11.5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7.2–59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5"/>
              </w:rPr>
              <w:t>SAR5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628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6120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36.6 / 74.5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14或28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37–67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1050–1860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7.0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7.2–59</w:t>
            </w:r>
          </w:p>
        </w:tc>
      </w:tr>
      <w:tr>
        <w:tc>
          <w:tcPr>
            <w:tcW w:type="dxa" w:w="85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5"/>
              </w:rPr>
              <w:t>SAR6</w:t>
            </w:r>
          </w:p>
        </w:tc>
        <w:tc>
          <w:tcPr>
            <w:tcW w:type="dxa" w:w="102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628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6120</w:t>
            </w:r>
          </w:p>
        </w:tc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36.6 / 74.5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28</w:t>
            </w:r>
          </w:p>
        </w:tc>
        <w:tc>
          <w:tcPr>
            <w:tcW w:type="dxa" w:w="102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18–43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1550–3640</w:t>
            </w:r>
          </w:p>
        </w:tc>
        <w:tc>
          <w:tcPr>
            <w:tcW w:type="dxa" w:w="96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6.8</w:t>
            </w:r>
          </w:p>
        </w:tc>
        <w:tc>
          <w:tcPr>
            <w:tcW w:type="dxa" w:w="113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5"/>
              </w:rPr>
              <w:t>7.2–59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六类系统均采用线性调频脉冲和太阳同步轨道。它们覆盖不同高度、天线孔径、峰值EIRP、带宽、脉宽和占空比，用于代表现实SAR的宽参数范围。报告明确说明，算例选择的是对所研究RNSS接收机产生最坏干扰的特性，而不是每个SAR的日常平均工作状态。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报告不仅给出峰值增益，还给出SAR1至SAR6的分段二维天线方向图方程。这样在详细分析时可以根据卫星姿态、波束视角和接收机方向计算瞬时增益，而不是把峰值天线增益应用到整个过境过程。</w:t>
      </w:r>
    </w:p>
    <w:p>
      <w:pPr>
        <w:pStyle w:val="Heading2"/>
      </w:pPr>
      <w:r>
        <w:t>3.3  RNSS接收机为什么必须分类型分析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不同RNSS接收机在天线增益、射频带宽、预相关滤波器、系统噪声温度、ADC量化、AGC、脉冲消隐、输入饱和点和过载恢复时间上差别很大。因此，同一SAR脉冲对不同接收机的影响可能相差几十dB或数倍占空比。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7"/>
        <w:gridCol w:w="1597"/>
        <w:gridCol w:w="1597"/>
        <w:gridCol w:w="1597"/>
        <w:gridCol w:w="1597"/>
        <w:gridCol w:w="1597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接收机示例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输入饱和电平</w:t>
            </w:r>
          </w:p>
        </w:tc>
        <w:tc>
          <w:tcPr>
            <w:tcW w:type="dxa" w:w="158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生存电平</w:t>
            </w:r>
          </w:p>
        </w:tc>
        <w:tc>
          <w:tcPr>
            <w:tcW w:type="dxa" w:w="124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恢复时间</w:t>
            </w:r>
          </w:p>
        </w:tc>
        <w:tc>
          <w:tcPr>
            <w:tcW w:type="dxa" w:w="8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NLIM</w:t>
            </w:r>
          </w:p>
        </w:tc>
        <w:tc>
          <w:tcPr>
            <w:tcW w:type="dxa" w:w="204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允许新增脉冲劣化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SBAS地面参考接收机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−135 dBW（1 MHz）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−10 dBW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 μs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0.2 dB</w:t>
            </w:r>
          </w:p>
        </w:tc>
      </w:tr>
      <w:tr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高精度半无码接收机</w:t>
            </w:r>
          </w:p>
        </w:tc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−120 dBW</w:t>
            </w:r>
          </w:p>
        </w:tc>
        <w:tc>
          <w:tcPr>
            <w:tcW w:type="dxa" w:w="158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−20 dBW</w:t>
            </w:r>
          </w:p>
        </w:tc>
        <w:tc>
          <w:tcPr>
            <w:tcW w:type="dxa" w:w="124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 μs</w:t>
            </w:r>
          </w:p>
        </w:tc>
        <w:tc>
          <w:tcPr>
            <w:tcW w:type="dxa" w:w="85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type="dxa" w:w="204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0.2 dB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航空导航FDMA接收机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−80 dBW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−1 dBW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1–30 μs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0.1 dB</w:t>
            </w:r>
          </w:p>
        </w:tc>
      </w:tr>
      <w:tr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室内定位接收机</w:t>
            </w:r>
          </w:p>
        </w:tc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−70或−100 dBW（类型相关）</w:t>
            </w:r>
          </w:p>
        </w:tc>
        <w:tc>
          <w:tcPr>
            <w:tcW w:type="dxa" w:w="158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−20或−17 dBW</w:t>
            </w:r>
          </w:p>
        </w:tc>
        <w:tc>
          <w:tcPr>
            <w:tcW w:type="dxa" w:w="124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30 μs</w:t>
            </w:r>
          </w:p>
        </w:tc>
        <w:tc>
          <w:tcPr>
            <w:tcW w:type="dxa" w:w="85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表9未给完整基线</w:t>
            </w:r>
          </w:p>
        </w:tc>
        <w:tc>
          <w:tcPr>
            <w:tcW w:type="dxa" w:w="204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需详细分析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NLIM表示ADC饱和电压相对于AGC建立的1σ噪声电压之比。1 bit硬限幅接收机常取NLIM=1；具有脉冲消隐的接收机可取NLIM=0。这个参数决定同一脉冲占空比如何映射为相关器后的等效噪声。</w:t>
      </w:r>
    </w:p>
    <w:p>
      <w:pPr>
        <w:pStyle w:val="Heading2"/>
      </w:pPr>
      <w:r>
        <w:t>3.4  干扰机理：损坏、饱和和性能劣化不是一回事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物理现象</w:t>
            </w:r>
          </w:p>
        </w:tc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判据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后果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前端生存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LNA、滤波器、限幅器等承受过高峰值或平均功率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与receiver survival level比较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可能造成永久损坏</w:t>
            </w:r>
          </w:p>
        </w:tc>
      </w:tr>
      <w:tr>
        <w:tc>
          <w:tcPr>
            <w:tcW w:type="dxa" w:w="170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输入饱和/压缩</w:t>
            </w:r>
          </w:p>
        </w:tc>
        <w:tc>
          <w:tcPr>
            <w:tcW w:type="dxa" w:w="340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增益压缩、限幅或ADC削顶</w:t>
            </w:r>
          </w:p>
        </w:tc>
        <w:tc>
          <w:tcPr>
            <w:tcW w:type="dxa" w:w="238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与input saturation level比较</w:t>
            </w:r>
          </w:p>
        </w:tc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干扰脉冲期间及恢复时间内有用信号丢失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性能劣化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强脉冲造成时间空白；弱脉冲抬高等效噪声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PDC、RI和允许劣化比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C/N₀下降、捕获/跟踪性能恶化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关键区别：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“不会烧毁”不等于“不会干扰”。RS.2537的算例中，SAR峰值通常远低于RNSS生存电平，却经常高于输入饱和点，因此仍需继续计算性能劣化。</w:t>
            </w:r>
          </w:p>
        </w:tc>
      </w:tr>
    </w:tbl>
    <w:p>
      <w:pPr>
        <w:spacing w:after="0"/>
      </w:pPr>
    </w:p>
    <w:p>
      <w:pPr>
        <w:pStyle w:val="Heading2"/>
      </w:pPr>
      <w:r>
        <w:t>3.5  两级评估流程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D9EAF7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第一级：峰值功率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最坏几何、主瓣、极化、自由空间损耗</w:t>
            </w:r>
          </w:p>
        </w:tc>
        <w:tc>
          <w:tcPr>
            <w:tcW w:type="dxa" w:w="2395"/>
            <w:shd w:fill="E2F0D9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比较生存电平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超过→存在硬件风险</w:t>
              <w:br/>
              <w:t>停止简单评估</w:t>
            </w:r>
          </w:p>
        </w:tc>
        <w:tc>
          <w:tcPr>
            <w:tcW w:type="dxa" w:w="2395"/>
            <w:shd w:fill="FFF2CC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比较饱和区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低于生存但高于“饱和点−15 dB”→继续</w:t>
            </w:r>
          </w:p>
        </w:tc>
        <w:tc>
          <w:tcPr>
            <w:tcW w:type="dxa" w:w="2395"/>
            <w:shd w:fill="FCE4D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第二级：性能劣化</w:t>
              <w:br/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18"/>
              </w:rPr>
              <w:t>计算频谱重叠、PDC、RI、基线干扰和允许劣化</w:t>
            </w:r>
          </w:p>
        </w:tc>
      </w:tr>
    </w:tbl>
    <w:p>
      <w:pPr>
        <w:spacing w:after="0"/>
      </w:pP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Pᵣ,pk = Pₜ,pk + Gₜ + Gᵣ − LFS − Lpol − Lother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所有量采用dB制；损坏/饱和初筛一般不计接收机窄带滤波带来的有利抑制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报告在初筛中采用共频、SAR主瓣照射RNSS接收机的最坏情况。自由空间损耗通常按1250 MHz计算；若SAR波形与某一RNSS具体通带重叠，则详细计算应在对应RNSS信号中心频率上求损耗。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如果接收峰值低于生存电平，但高于“输入饱和点以下15 dB”的筛查线，就进入性能劣化计算。原报告没有给出15 dB的器件级推导，因此应把它理解为保守的工程筛查带，而不是新的物理饱和定义。</w:t>
      </w:r>
    </w:p>
    <w:p>
      <w:pPr>
        <w:pStyle w:val="Heading2"/>
      </w:pPr>
      <w:r>
        <w:t>3.6  强脉冲参数PDC：接收机有多少时间看不到有用信号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PDCⱼ = (PWⱼ,eff + τᵣ) · PRFⱼ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强脉冲超过饱和/消隐门限时，脉冲宽度和过载恢复时间都计入丢失时间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PWₑff = PW · (Δf / Chirpwidth)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只有落入RNSS预相关通带的chirp部分计入有效脉宽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PDC不是简单照搬SAR发射占空比。它同时受接收机滤波器、SAR中心频率、chirp带宽和接收机恢复时间影响。若频谱完全不重叠，Δf=0，初步模型中的PDC为0；若缺少滤波器衰减数据，报告建议在初评中采用频谱重叠因子1，作为最坏情况。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PDCtotal = 1 − ∏ⱼ(1 − PDCⱼ)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多个异构强脉冲源的时间覆盖率不能简单相加，应计算“至少一个脉冲出现”的概率</w:t>
      </w:r>
    </w:p>
    <w:p>
      <w:pPr>
        <w:pStyle w:val="Heading2"/>
      </w:pPr>
      <w:r>
        <w:t>3.7  弱脉冲参数RI：未触发饱和的脉冲如何抬高噪声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Rᵢ = Σ [Pᵢ · dcᵢ / (N₀ · BW)]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将低于门限脉冲的平均功率密度与接收机热噪声谱密度比较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RItotal = Σ Rⱼ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弱脉冲的平均噪声贡献按功率线性相加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RS.2537把超过门限的脉冲归入PDC，把低于门限的脉冲归入RI。再与热噪声N₀、连续宽带干扰I₀,WB和ADC参数NLIM共同代入一般有效噪声密度公式。这样可以在同一框架内同时处理已有地面雷达、航空雷达、SAR和连续干扰。</w:t>
      </w:r>
    </w:p>
    <w:p>
      <w:pPr>
        <w:pStyle w:val="Heading2"/>
      </w:pPr>
      <w:r>
        <w:t>3.8  从PDC到性能劣化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一般情况下，应使用报告式(7)，把基线PDC、基线RI、连续宽带干扰比I₀,WB/N₀、NLIM以及新增脉冲源共同带入。对于NLIM=1的硬限幅接收机，且弱脉冲贡献可忽略时，式(7)可简化为下面的直观表达。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Dlinear = 1 / (1 − PDCY)²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D表示加入新脉冲源后等效噪声与基线等效噪声之比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DdB = −20·log₁₀(1 − PDCY)</w:t>
      </w:r>
    </w:p>
    <w:p>
      <w:pPr>
        <w:pStyle w:val="SmallTextCN"/>
        <w:jc w:val="center"/>
      </w:pPr>
      <w:r>
        <w:rPr>
          <w:rFonts w:ascii="Arial" w:hAnsi="Arial" w:eastAsia="Noto Sans CJK SC"/>
          <w:b w:val="0"/>
          <w:i w:val="0"/>
          <w:color w:val="666666"/>
          <w:sz w:val="18"/>
        </w:rPr>
        <w:t>PDC越大，信号被切掉的时间越长，等效性能劣化越大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已有基线干扰不能被忽略。新增源加入后，强脉冲空白时间按未受扰时间相乘，弱脉冲噪声贡献线性相加：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(1 − PDCbase+Y) = (1 − PDCbase)(1 − PDCY)</w:t>
      </w:r>
    </w:p>
    <w:p>
      <w:pPr>
        <w:pStyle w:val="EquationCN"/>
        <w:jc w:val="center"/>
      </w:pPr>
      <w:r>
        <w:rPr>
          <w:rFonts w:ascii="Cambria Math" w:hAnsi="Cambria Math" w:eastAsia="Cambria Math"/>
          <w:b/>
          <w:i w:val="0"/>
          <w:color w:val="1F4E78"/>
          <w:sz w:val="22"/>
        </w:rPr>
        <w:t>RIbase+Y = RIbase + 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允许劣化不是总容限：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表9中的0.1 dB或0.2 dB是“新规划脉冲源在既有干扰基线之外可占用的新增预算”，不是接收机允许的总干扰劣化。</w:t>
            </w:r>
          </w:p>
        </w:tc>
      </w:tr>
    </w:tbl>
    <w:p>
      <w:pPr>
        <w:spacing w:after="0"/>
      </w:pPr>
    </w:p>
    <w:p>
      <w:pPr>
        <w:pStyle w:val="Heading2"/>
      </w:pPr>
      <w:r>
        <w:t>3.9  三组峰值功率算例说明了什么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23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RNSS接收机</w:t>
            </w:r>
          </w:p>
        </w:tc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SAR最大接收峰值范围</w:t>
            </w:r>
          </w:p>
        </w:tc>
        <w:tc>
          <w:tcPr>
            <w:tcW w:type="dxa" w:w="147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饱和电平</w:t>
            </w:r>
          </w:p>
        </w:tc>
        <w:tc>
          <w:tcPr>
            <w:tcW w:type="dxa" w:w="147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生存电平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初筛结论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QZSS室内定位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约−83.16至−70.05 dBW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−70 dBW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−20 dBW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不致损坏；多数结果位于饱和点15 dB范围内，应做性能评估</w:t>
            </w:r>
          </w:p>
        </w:tc>
      </w:tr>
      <w:tr>
        <w:tc>
          <w:tcPr>
            <w:tcW w:type="dxa" w:w="232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GPS SBAS地面参考</w:t>
            </w:r>
          </w:p>
        </w:tc>
        <w:tc>
          <w:tcPr>
            <w:tcW w:type="dxa" w:w="238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约−91.16至−78.05 dBW</w:t>
            </w:r>
          </w:p>
        </w:tc>
        <w:tc>
          <w:tcPr>
            <w:tcW w:type="dxa" w:w="147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−135 dBW</w:t>
            </w:r>
          </w:p>
        </w:tc>
        <w:tc>
          <w:tcPr>
            <w:tcW w:type="dxa" w:w="147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−10 dBW</w:t>
            </w:r>
          </w:p>
        </w:tc>
        <w:tc>
          <w:tcPr>
            <w:tcW w:type="dxa" w:w="2835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不致损坏；远高于饱和点，必须做性能评估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GLONASS航空导航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约−82.16至−69.05 dBW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−80 dBW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−1 dBW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不致损坏；多数结果高于饱和点，必须做性能评估</w:t>
            </w:r>
          </w:p>
        </w:tc>
      </w:tr>
    </w:tbl>
    <w:p>
      <w:pPr>
        <w:spacing w:after="0"/>
      </w:pPr>
    </w:p>
    <w:p>
      <w:pPr>
        <w:pStyle w:val="Heading2"/>
      </w:pPr>
      <w:r>
        <w:t>3.10  SAR5对SBAS地面参考接收机的算例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算例假定SAR5在一段名义时间内使SBAS接收机进入饱和。SBAS预相关滤波器采用以1227.6 MHz为中心、20.5 MHz矩形等效带宽，恢复时间取1 μs。SAR5的chirp中心频率可选1236.5、1257.5和1278.5 MHz，带宽可选14或28 MHz。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7"/>
        <w:gridCol w:w="1597"/>
        <w:gridCol w:w="1597"/>
        <w:gridCol w:w="1597"/>
        <w:gridCol w:w="1597"/>
        <w:gridCol w:w="1597"/>
      </w:tblGrid>
      <w:tr>
        <w:trPr>
          <w:tblHeader w:val="true"/>
        </w:trPr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SAR5中心频率</w:t>
            </w:r>
          </w:p>
        </w:tc>
        <w:tc>
          <w:tcPr>
            <w:tcW w:type="dxa" w:w="136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chirp带宽</w:t>
            </w:r>
          </w:p>
        </w:tc>
        <w:tc>
          <w:tcPr>
            <w:tcW w:type="dxa" w:w="153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频谱重叠比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PDC范围</w:t>
            </w:r>
          </w:p>
        </w:tc>
        <w:tc>
          <w:tcPr>
            <w:tcW w:type="dxa" w:w="204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计算劣化</w:t>
            </w:r>
          </w:p>
        </w:tc>
        <w:tc>
          <w:tcPr>
            <w:tcW w:type="dxa" w:w="141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与0.2 dB比较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1236.5 MHz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14 MHz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0.5964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4.280%–4.361%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最大0.387 dB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超限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1236.5 MHz</w:t>
            </w:r>
          </w:p>
        </w:tc>
        <w:tc>
          <w:tcPr>
            <w:tcW w:type="dxa" w:w="136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28 MHz</w:t>
            </w:r>
          </w:p>
        </w:tc>
        <w:tc>
          <w:tcPr>
            <w:tcW w:type="dxa" w:w="153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0.5482</w:t>
            </w:r>
          </w:p>
        </w:tc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3.942%–4.023%</w:t>
            </w:r>
          </w:p>
        </w:tc>
        <w:tc>
          <w:tcPr>
            <w:tcW w:type="dxa" w:w="204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最小0.349 dB</w:t>
            </w:r>
          </w:p>
        </w:tc>
        <w:tc>
          <w:tcPr>
            <w:tcW w:type="dxa" w:w="141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超限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1257.5 MHz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14/28 MHz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0（简化矩形模型）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不重叠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6"/>
              </w:rPr>
              <w:t>1278.5 MHz</w:t>
            </w:r>
          </w:p>
        </w:tc>
        <w:tc>
          <w:tcPr>
            <w:tcW w:type="dxa" w:w="136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14/28 MHz</w:t>
            </w:r>
          </w:p>
        </w:tc>
        <w:tc>
          <w:tcPr>
            <w:tcW w:type="dxa" w:w="153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</w:t>
            </w:r>
          </w:p>
        </w:tc>
        <w:tc>
          <w:tcPr>
            <w:tcW w:type="dxa" w:w="181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</w:t>
            </w:r>
          </w:p>
        </w:tc>
        <w:tc>
          <w:tcPr>
            <w:tcW w:type="dxa" w:w="204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0（简化矩形模型）</w:t>
            </w:r>
          </w:p>
        </w:tc>
        <w:tc>
          <w:tcPr>
            <w:tcW w:type="dxa" w:w="141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6"/>
              </w:rPr>
              <w:t>不重叠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算例的核心启示：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中心频率是否与受扰接收机的实际预相关通带重叠，可能比单纯降低峰值功率更有效。频率规划必须基于接收机滤波响应，而不能只看整个1215–1300 MHz频段是否重叠。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报告强调，超出0.2 dB只代表初评未通过，需要进一步详细分析；它不是在没有真实轨道和方向图的情况下直接判定系统不可运行。</w:t>
      </w:r>
    </w:p>
    <w:p>
      <w:pPr>
        <w:pStyle w:val="Heading2"/>
      </w:pPr>
      <w:r>
        <w:t>3.11  SAR5对GLONASS接收机的算例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由于缺少GLONASS预相关滤波器在所需衰减电平处的有效带宽，算例采用频谱重叠因子1，即假定整个脉冲都有效进入接收机。这是明确的最坏情况假设。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恢复时间</w:t>
            </w:r>
          </w:p>
        </w:tc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PRF/脉宽组合</w:t>
            </w:r>
          </w:p>
        </w:tc>
        <w:tc>
          <w:tcPr>
            <w:tcW w:type="dxa" w:w="124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PDC</w:t>
            </w:r>
          </w:p>
        </w:tc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劣化</w:t>
            </w:r>
          </w:p>
        </w:tc>
        <w:tc>
          <w:tcPr>
            <w:tcW w:type="dxa" w:w="306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1 μs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1050 Hz / 67 μs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7.14%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约0.64 dB（最大）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超过0.1 dB，需要详细分析</w:t>
            </w:r>
          </w:p>
        </w:tc>
      </w:tr>
      <w:tr>
        <w:tc>
          <w:tcPr>
            <w:tcW w:type="dxa" w:w="136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1 μs</w:t>
            </w:r>
          </w:p>
        </w:tc>
        <w:tc>
          <w:tcPr>
            <w:tcW w:type="dxa" w:w="238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1860 Hz / 37 μs</w:t>
            </w:r>
          </w:p>
        </w:tc>
        <w:tc>
          <w:tcPr>
            <w:tcW w:type="dxa" w:w="124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7.07%</w:t>
            </w:r>
          </w:p>
        </w:tc>
        <w:tc>
          <w:tcPr>
            <w:tcW w:type="dxa" w:w="19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同量级</w:t>
            </w:r>
          </w:p>
        </w:tc>
        <w:tc>
          <w:tcPr>
            <w:tcW w:type="dxa" w:w="306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超过允许值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30 μs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1050 Hz / 67 μs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10.18%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约0.93 dB量级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恢复时间显著增加劣化</w:t>
            </w:r>
          </w:p>
        </w:tc>
      </w:tr>
      <w:tr>
        <w:tc>
          <w:tcPr>
            <w:tcW w:type="dxa" w:w="136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30 μs</w:t>
            </w:r>
          </w:p>
        </w:tc>
        <w:tc>
          <w:tcPr>
            <w:tcW w:type="dxa" w:w="238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1860 Hz / 37 μs</w:t>
            </w:r>
          </w:p>
        </w:tc>
        <w:tc>
          <w:tcPr>
            <w:tcW w:type="dxa" w:w="124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12.46%</w:t>
            </w:r>
          </w:p>
        </w:tc>
        <w:tc>
          <w:tcPr>
            <w:tcW w:type="dxa" w:w="19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约1.16 dB</w:t>
            </w:r>
          </w:p>
        </w:tc>
        <w:tc>
          <w:tcPr>
            <w:tcW w:type="dxa" w:w="3061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超过允许值，需要详细分析</w:t>
            </w:r>
          </w:p>
        </w:tc>
      </w:tr>
    </w:tbl>
    <w:p>
      <w:pPr>
        <w:spacing w:after="0"/>
      </w:pP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这个算例说明，过载恢复时间不是次要参数。脉冲本身可能只有几十微秒，但如果接收机每次过载后还要恢复30 μs，累计PDC会明显增大。实际项目必须通过设备规范或射频注入试验获得恢复时间，不能默认使用1 μs。</w:t>
      </w:r>
    </w:p>
    <w:p>
      <w:pPr>
        <w:pStyle w:val="Heading2"/>
      </w:pPr>
      <w:r>
        <w:t>3.12  RS.2537的局限与详细分析应补充的内容</w:t>
      </w:r>
    </w:p>
    <w:p>
      <w:pPr>
        <w:spacing w:line="300" w:lineRule="auto"/>
        <w:ind w:left="369" w:hanging="198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• 报告主要是单个SAR对单个RNSS接收机的初步评估；多个SAR同时照射的聚合影响需要另行计算。</w:t>
      </w:r>
    </w:p>
    <w:p>
      <w:pPr>
        <w:spacing w:line="300" w:lineRule="auto"/>
        <w:ind w:left="369" w:hanging="198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• 许多算例用“主瓣照射、共频、持续数分钟饱和”作为保守条件；实际动态场景应由轨道、姿态、波束时序和站址共同决定。</w:t>
      </w:r>
    </w:p>
    <w:p>
      <w:pPr>
        <w:spacing w:line="300" w:lineRule="auto"/>
        <w:ind w:left="369" w:hanging="198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• 表中RNSS接收机不覆盖所有已部署设备，尤其不能代表所有多星座、宽带或具有专有消隐算法的接收机。</w:t>
      </w:r>
    </w:p>
    <w:p>
      <w:pPr>
        <w:spacing w:line="300" w:lineRule="auto"/>
        <w:ind w:left="369" w:hanging="198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• 缺少真实滤波器衰减曲线时采用重叠因子1，会高估有效脉宽；详细分析应进行发射谱与接收滤波器的积分。</w:t>
      </w:r>
    </w:p>
    <w:p>
      <w:pPr>
        <w:spacing w:line="300" w:lineRule="auto"/>
        <w:ind w:left="369" w:hanging="198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• 接收机天线方向图、极化、下半球增益、AGC、ADC位数、限幅器和恢复时间均可能显著改变结果。</w:t>
      </w:r>
    </w:p>
    <w:p>
      <w:pPr>
        <w:spacing w:line="300" w:lineRule="auto"/>
        <w:ind w:left="369" w:hanging="198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• 初评超限后，应采用真实的峰值功率时间历程，而不是只用一个固定最坏值。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报告给出的聚合缓解方向：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当多个星载有源传感器可能同时照射同一RNSS接收机时，一个直接的缓解方法是EESS运营方进行运行协调，例如错开成像时段、区域、中心频率或工作模式。</w:t>
            </w:r>
          </w:p>
        </w:tc>
      </w:tr>
    </w:tbl>
    <w:p>
      <w:pPr>
        <w:spacing w:after="0"/>
      </w:pPr>
    </w:p>
    <w:p>
      <w:pPr>
        <w:pStyle w:val="Heading1"/>
      </w:pPr>
      <w:r>
        <w:t>4  两篇文献的共同分析思想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1. 先定义受扰接收机，而不是先假设一个通用I/N门限。M.2046从ARGOS4接收结构出发，RS.2537从不同RNSS接收机的饱和、恢复和量化结构出发。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2. 把干扰划分为不同机理。M.2046分宽带噪声与窄带谱线；RS.2537分硬件生存、强脉冲空白、弱脉冲噪声和连续干扰。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3. 保护准则必须对应性能指标。M.2046对应BER和处理容量；RS.2537对应RNSS等效噪声和允许性能劣化比。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4. 频谱重叠和接收滤波必须显式建模。只有进入实际接收通带的能量才参与性能计算。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5. 时间统计不可缺少。M.2046用视场内1%时间；RS.2537用PDC并要求最终详细分析恢复真实时间历程。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6. 聚合干扰不能只做单源相加。强脉冲用概率并集，弱脉冲用功率相加，多个卫星还需运行协调和动态仿真。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3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通用工程步骤</w:t>
            </w:r>
          </w:p>
        </w:tc>
        <w:tc>
          <w:tcPr>
            <w:tcW w:type="dxa" w:w="36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M.2046中的体现</w:t>
            </w:r>
          </w:p>
        </w:tc>
        <w:tc>
          <w:tcPr>
            <w:tcW w:type="dxa" w:w="36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RS.2537中的体现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1. 定义系统与业务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ARGOS4非GSO MSS上行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SAR与RNSS接收地球站</w:t>
            </w:r>
          </w:p>
        </w:tc>
      </w:tr>
      <w:tr>
        <w:tc>
          <w:tcPr>
            <w:tcW w:type="dxa" w:w="232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2. 建立接收机参数</w:t>
            </w:r>
          </w:p>
        </w:tc>
        <w:tc>
          <w:tcPr>
            <w:tcW w:type="dxa" w:w="36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Tsys、NF、检测带宽、Cmin</w:t>
            </w:r>
          </w:p>
        </w:tc>
        <w:tc>
          <w:tcPr>
            <w:tcW w:type="dxa" w:w="36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饱和、生存、恢复、NLIM、滤波器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3. 识别干扰机制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宽带噪声/窄带虚警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损坏/饱和/强脉冲/弱脉冲</w:t>
            </w:r>
          </w:p>
        </w:tc>
      </w:tr>
      <w:tr>
        <w:tc>
          <w:tcPr>
            <w:tcW w:type="dxa" w:w="232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4. 计算耦合</w:t>
            </w:r>
          </w:p>
        </w:tc>
        <w:tc>
          <w:tcPr>
            <w:tcW w:type="dxa" w:w="36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spfd/pfd与天线有效面积</w:t>
            </w:r>
          </w:p>
        </w:tc>
        <w:tc>
          <w:tcPr>
            <w:tcW w:type="dxa" w:w="36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峰值链路预算、天线方向图、极化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5. 映射性能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Eb/N₀、BER、DRU容量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PDC、RI、等效噪声劣化</w:t>
            </w:r>
          </w:p>
        </w:tc>
      </w:tr>
      <w:tr>
        <w:tc>
          <w:tcPr>
            <w:tcW w:type="dxa" w:w="2324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6. 加入统计</w:t>
            </w:r>
          </w:p>
        </w:tc>
        <w:tc>
          <w:tcPr>
            <w:tcW w:type="dxa" w:w="36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视场时间1%</w:t>
            </w:r>
          </w:p>
        </w:tc>
        <w:tc>
          <w:tcPr>
            <w:tcW w:type="dxa" w:w="362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脉冲时间占比、动态轨道时间历程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7. 判定与缓解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满足两类pfd门限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低于允许劣化；否则详细分析/协调</w:t>
            </w:r>
          </w:p>
        </w:tc>
      </w:tr>
    </w:tbl>
    <w:p>
      <w:pPr>
        <w:spacing w:after="0"/>
      </w:pPr>
    </w:p>
    <w:p>
      <w:pPr>
        <w:pStyle w:val="Heading1"/>
      </w:pPr>
      <w:r>
        <w:t>5  可直接用于项目的分析模板</w:t>
      </w:r>
    </w:p>
    <w:p>
      <w:pPr>
        <w:pStyle w:val="Heading2"/>
      </w:pPr>
      <w:r>
        <w:t>5.1  输入参数清单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37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至少需要的参数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干扰发射机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中心频率、峰值/平均功率、发射谱、脉宽、PRF、占空比、chirp方向和带宽、极化</w:t>
            </w:r>
          </w:p>
        </w:tc>
      </w:tr>
      <w:tr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发射天线</w:t>
            </w:r>
          </w:p>
        </w:tc>
        <w:tc>
          <w:tcPr>
            <w:tcW w:type="dxa" w:w="737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二维/三维方向图、峰值增益、扫描角、波束时序、旁瓣和后瓣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传播与几何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轨道/站址、斜距、可见窗口、姿态、自由空间损耗、附加传播损耗</w:t>
            </w:r>
          </w:p>
        </w:tc>
      </w:tr>
      <w:tr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受扰天线</w:t>
            </w:r>
          </w:p>
        </w:tc>
        <w:tc>
          <w:tcPr>
            <w:tcW w:type="dxa" w:w="737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方向图、极化、有效孔径、上/下半球增益、馈线损耗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接收机前端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RF滤波器、压缩/饱和点、生存电平、限幅器、AGC、ADC位数和满量程</w:t>
            </w:r>
          </w:p>
        </w:tc>
      </w:tr>
      <w:tr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接收处理</w:t>
            </w:r>
          </w:p>
        </w:tc>
        <w:tc>
          <w:tcPr>
            <w:tcW w:type="dxa" w:w="737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预相关带宽、检测分辨带宽、恢复时间、脉冲消隐、积分时间、处理资源容量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性能与判据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BER、C/N₀、允许劣化、不可用时间、处理容量或任务性能指标</w:t>
            </w:r>
          </w:p>
        </w:tc>
      </w:tr>
      <w:tr>
        <w:tc>
          <w:tcPr>
            <w:tcW w:type="dxa" w:w="22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背景环境</w:t>
            </w:r>
          </w:p>
        </w:tc>
        <w:tc>
          <w:tcPr>
            <w:tcW w:type="dxa" w:w="7370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已有连续干扰、已有脉冲源、同时可见源数量和运行相关性</w:t>
            </w:r>
          </w:p>
        </w:tc>
      </w:tr>
    </w:tbl>
    <w:p>
      <w:pPr>
        <w:spacing w:after="0"/>
      </w:pPr>
    </w:p>
    <w:p>
      <w:pPr>
        <w:pStyle w:val="Heading2"/>
      </w:pPr>
      <w:r>
        <w:t>5.2  推荐计算流程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1. 核对频率划分和业务地位，明确受保护业务、干扰方向和统计时间窗口。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2. 用真实发射谱与接收滤波器计算频谱重叠；不要只比较中心频率。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3. 完成峰值链路预算，先检查硬件生存，再检查饱和/压缩。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4. 按接收机门限将脉冲分为强脉冲和弱脉冲，计算PDC与RI。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5. 叠加已有连续干扰与脉冲基线，计算新增源引起的性能劣化。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6. 进行轨道—姿态—波束动态仿真，得到峰值功率、PDC或spfd随时间的序列及CDF。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7. 进行多源聚合，重点分析同时照射、最坏频率组合和异常恢复时间。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8. 如果初评超限，逐项测试缓解措施：频率调整、带宽/脉宽/PRF优化、旁瓣降低、接收滤波、脉冲消隐和运行协调。</w:t>
      </w:r>
    </w:p>
    <w:p>
      <w:pPr>
        <w:spacing w:line="300" w:lineRule="auto"/>
        <w:ind w:left="408" w:hanging="312"/>
      </w:pPr>
      <w:r>
        <w:rPr>
          <w:rFonts w:ascii="Arial" w:hAnsi="Arial" w:eastAsia="Noto Sans CJK SC"/>
          <w:b w:val="0"/>
          <w:i w:val="0"/>
          <w:color w:val="1F1F1F"/>
          <w:sz w:val="20"/>
        </w:rPr>
        <w:t>9. 用射频注入试验验证饱和点、恢复时间、消隐效率、虚警和真实性能退化。</w:t>
      </w:r>
    </w:p>
    <w:p>
      <w:pPr>
        <w:pStyle w:val="Heading2"/>
      </w:pPr>
      <w:r>
        <w:t>5.3  结论表达应避免的三种错误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错误一：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把M.2046的−197.9 dB(W/(m²·Hz))用于任何400 MHz卫星接收机。该值由ARGOS4具体噪声与BER余量推导。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错误二：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只证明峰值功率低于生存电平，就声称“无干扰”。接收机可能不会损坏，但会长期饱和并丢失信号。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错误三：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把RS.2537的最坏情况初评超限直接写成“系统不可共存”。正确结论应是“需要真实动态参数和设备特性的详细分析”。</w:t>
            </w:r>
          </w:p>
        </w:tc>
      </w:tr>
    </w:tbl>
    <w:p>
      <w:pPr>
        <w:spacing w:after="0"/>
      </w:pPr>
    </w:p>
    <w:p>
      <w:pPr>
        <w:pStyle w:val="Heading1"/>
      </w:pPr>
      <w:r>
        <w:t>6  术语与符号速查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缩写/符号</w:t>
            </w:r>
          </w:p>
        </w:tc>
        <w:tc>
          <w:tcPr>
            <w:tcW w:type="dxa" w:w="29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中文含义</w:t>
            </w:r>
          </w:p>
        </w:tc>
        <w:tc>
          <w:tcPr>
            <w:tcW w:type="dxa" w:w="49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7"/>
              </w:rPr>
              <w:t>本文中的作用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MSS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移动卫星业务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M.2046中的ARGOS4业务类别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non-GSO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非对地静止卫星轨道</w:t>
            </w:r>
          </w:p>
        </w:tc>
        <w:tc>
          <w:tcPr>
            <w:tcW w:type="dxa" w:w="493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低轨等非静止轨道系统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DCP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数据采集平台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向ARGOS4卫星发送低速数据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spfd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频谱功率通量密度</w:t>
            </w:r>
          </w:p>
        </w:tc>
        <w:tc>
          <w:tcPr>
            <w:tcW w:type="dxa" w:w="493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单位面积、单位带宽的入射干扰功率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pfd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功率通量密度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单位面积内的干扰功率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EESS（active）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卫星地球探测业务（有源）</w:t>
            </w:r>
          </w:p>
        </w:tc>
        <w:tc>
          <w:tcPr>
            <w:tcW w:type="dxa" w:w="493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星载SAR所属业务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RNSS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卫星无线电导航业务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GPS、GLONASS、Galileo、QZSS等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PDC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超过门限脉冲的有效占空比</w:t>
            </w:r>
          </w:p>
        </w:tc>
        <w:tc>
          <w:tcPr>
            <w:tcW w:type="dxa" w:w="493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强脉冲造成信号空白的时间比例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RI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低于门限脉冲的平均噪声密度比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弱脉冲对热噪声的相对贡献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NLIM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ADC饱和电压与1σ噪声电压之比</w:t>
            </w:r>
          </w:p>
        </w:tc>
        <w:tc>
          <w:tcPr>
            <w:tcW w:type="dxa" w:w="493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描述接收机量化/限幅结构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τr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过载恢复时间</w:t>
            </w:r>
          </w:p>
        </w:tc>
        <w:tc>
          <w:tcPr>
            <w:tcW w:type="dxa" w:w="49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脉冲结束后接收机仍不可用的时间</w:t>
            </w:r>
          </w:p>
        </w:tc>
      </w:tr>
      <w:tr>
        <w:tc>
          <w:tcPr>
            <w:tcW w:type="dxa" w:w="1757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i w:val="0"/>
                <w:color w:val="1F1F1F"/>
                <w:sz w:val="17"/>
              </w:rPr>
              <w:t>Δf</w:t>
            </w:r>
          </w:p>
        </w:tc>
        <w:tc>
          <w:tcPr>
            <w:tcW w:type="dxa" w:w="294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chirp与接收通带的重叠带宽</w:t>
            </w:r>
          </w:p>
        </w:tc>
        <w:tc>
          <w:tcPr>
            <w:tcW w:type="dxa" w:w="4932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1F1F1F"/>
                <w:sz w:val="17"/>
              </w:rPr>
              <w:t>决定有效脉宽</w:t>
            </w:r>
          </w:p>
        </w:tc>
      </w:tr>
    </w:tbl>
    <w:p>
      <w:pPr>
        <w:spacing w:after="0"/>
      </w:pPr>
    </w:p>
    <w:p>
      <w:pPr>
        <w:pStyle w:val="Heading1"/>
      </w:pPr>
      <w:r>
        <w:t>7  主要来源与版本说明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1）Recommendation ITU-R M.2046-0，Characteristics and protection criteria for non-geostationary mobile-satellite service systems operating in the band 399.9-400.05 MHz，12/2013。ITU官方目录显示该版本为现行主版本。</w:t>
      </w:r>
    </w:p>
    <w:p>
      <w:pPr>
        <w:pStyle w:val="SourceNote"/>
      </w:pPr>
      <w:r>
        <w:rPr>
          <w:rFonts w:ascii="Arial" w:hAnsi="Arial" w:eastAsia="Noto Sans CJK SC"/>
          <w:b w:val="0"/>
          <w:i w:val="0"/>
          <w:color w:val="2F75B5"/>
          <w:sz w:val="17"/>
        </w:rPr>
        <w:t>官方页面：https://www.itu.int/rec/R-REC-M.2046/en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2）Report ITU-R RS.2537-0，Representative system characteristics and examples of evaluating interference into receiving earth stations in the RNSS from spaceborne SAR sensors in the EESS（active）in the 1215–1300 MHz band，09/2023。</w:t>
      </w:r>
    </w:p>
    <w:p>
      <w:pPr>
        <w:pStyle w:val="SourceNote"/>
      </w:pPr>
      <w:r>
        <w:rPr>
          <w:rFonts w:ascii="Arial" w:hAnsi="Arial" w:eastAsia="Noto Sans CJK SC"/>
          <w:b w:val="0"/>
          <w:i w:val="0"/>
          <w:color w:val="2F75B5"/>
          <w:sz w:val="17"/>
        </w:rPr>
        <w:t>官方报告目录：https://www.itu.int/pub/R-REP-RS/en</w:t>
      </w:r>
    </w:p>
    <w:p>
      <w:pPr>
        <w:pStyle w:val="BodyTextCN"/>
        <w:jc w:val="both"/>
      </w:pPr>
      <w:r>
        <w:rPr>
          <w:rFonts w:ascii="Arial" w:hAnsi="Arial" w:eastAsia="Noto Sans CJK SC"/>
          <w:b w:val="0"/>
          <w:i w:val="0"/>
          <w:color w:val="1F1F1F"/>
          <w:sz w:val="21"/>
        </w:rPr>
        <w:t>3）用于理解RS.2537程序关系的配套文件包括ITU-R M.1902、M.2030、M.2220、M.2305及RS.2165。本文仅在RS.2537明确引用的范围内说明其作用，没有用配套文件替换原报告中的参数或结论。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allout"/>
            </w:pPr>
            <w:r>
              <w:rPr>
                <w:rFonts w:ascii="Arial" w:hAnsi="Arial" w:eastAsia="Noto Sans CJK SC"/>
                <w:b/>
                <w:i w:val="0"/>
                <w:color w:val="1F4E78"/>
                <w:sz w:val="20"/>
              </w:rPr>
              <w:t>最终使用原则：</w:t>
            </w:r>
            <w:r>
              <w:rPr>
                <w:rFonts w:ascii="Arial" w:hAnsi="Arial" w:eastAsia="Noto Sans CJK SC"/>
                <w:b w:val="0"/>
                <w:i w:val="0"/>
                <w:color w:val="1F1F1F"/>
                <w:sz w:val="20"/>
              </w:rPr>
              <w:t>正式频率协调、许可证申请和系统验收必须以ITU正式文本、最新《无线电规则》、所在国家频率划分、主管部门要求和设备实测数据为准。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i w:val="0"/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Noto Sans CJK SC"/>
        <w:b w:val="0"/>
        <w:i w:val="0"/>
        <w:color w:val="666666"/>
        <w:sz w:val="17"/>
      </w:rPr>
      <w:t>ITU-R M.2046-0 与 Report ITU-R RS.2537-0 详细解读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TextCN"/>
    <w:pPr>
      <w:spacing w:after="80" w:line="324" w:lineRule="auto"/>
      <w:ind w:firstLine="420"/>
    </w:pPr>
    <w:rPr>
      <w:rFonts w:ascii="Arial" w:hAnsi="Arial" w:eastAsia="Noto Sans CJK SC"/>
      <w:b w:val="0"/>
      <w:color w:val="1F1F1F"/>
      <w:sz w:val="21"/>
    </w:rPr>
  </w:style>
  <w:style w:type="paragraph" w:customStyle="1" w:styleId="SmallTextCN">
    <w:name w:val="SmallTextCN"/>
    <w:pPr>
      <w:spacing w:after="80"/>
    </w:pPr>
    <w:rPr>
      <w:rFonts w:ascii="Arial" w:hAnsi="Arial" w:eastAsia="Noto Sans CJK SC"/>
      <w:b w:val="0"/>
      <w:color w:val="666666"/>
      <w:sz w:val="18"/>
    </w:rPr>
  </w:style>
  <w:style w:type="paragraph" w:customStyle="1" w:styleId="EquationCN">
    <w:name w:val="EquationCN"/>
    <w:pPr>
      <w:spacing w:after="120" w:line="276" w:lineRule="auto" w:before="80"/>
    </w:pPr>
    <w:rPr>
      <w:rFonts w:ascii="Arial" w:hAnsi="Arial" w:eastAsia="Noto Sans CJK SC"/>
      <w:b w:val="0"/>
      <w:color w:val="1F1F1F"/>
      <w:sz w:val="21"/>
    </w:rPr>
  </w:style>
  <w:style w:type="paragraph" w:customStyle="1" w:styleId="SourceNote">
    <w:name w:val="SourceNote"/>
    <w:pPr>
      <w:spacing w:after="80"/>
    </w:pPr>
    <w:rPr>
      <w:rFonts w:ascii="Arial" w:hAnsi="Arial" w:eastAsia="Noto Sans CJK SC"/>
      <w:b w:val="0"/>
      <w:color w:val="666666"/>
      <w:sz w:val="17"/>
    </w:rPr>
  </w:style>
  <w:style w:type="paragraph" w:customStyle="1" w:styleId="Callout">
    <w:name w:val="Callout"/>
    <w:pPr>
      <w:spacing w:after="80"/>
    </w:pPr>
    <w:rPr>
      <w:rFonts w:ascii="Arial" w:hAnsi="Arial" w:eastAsia="Noto Sans CJK SC"/>
      <w:b w:val="0"/>
      <w:color w:val="1F1F1F"/>
      <w:sz w:val="20"/>
    </w:rPr>
  </w:style>
  <w:style w:type="paragraph" w:customStyle="1" w:styleId="CaptionCN">
    <w:name w:val="CaptionCN"/>
    <w:pPr>
      <w:spacing w:after="80"/>
    </w:pPr>
    <w:rPr>
      <w:rFonts w:ascii="Arial" w:hAnsi="Arial" w:eastAsia="Noto Sans CJK SC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ITU-R M.2046-0与RS.2537-0详细解读与工程应用指南</dc:title>
  <dc:subject>非GSO移动卫星系统保护准则与星载SAR对RNSS脉冲干扰评估</dc:subject>
  <dc:creator>OpenAI</dc:creator>
  <cp:keywords>ITU-R, M.2046, RS.2537, MSS, ARGOS4, SAR, RNSS, 脉冲干扰, 频谱共用</cp:keywords>
  <dc:description>基于ITU-R正式文献形成的中文技术研读材料。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