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北京林业大学 · 信息学院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32"/>
        </w:rPr>
        <w:t>《软件工程》课程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56"/>
        </w:rPr>
        <w:t>D2-5_OpenAPI契约文档  README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Folder Package README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2E9B55"/>
          <w:sz w:val="26"/>
        </w:rPr>
        <w:t>—— 案例：NekoCafé 猫咪主题餐饮预约平台 ——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包名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D2-5_OpenAPI契约文档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案例项目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NekoCafé 猫咪主题餐饮预约平台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模板版本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v1.0  ·  2026-05-06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提交方式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将整个文件夹打包为 ZIP 后上传</w:t>
            </w:r>
          </w:p>
        </w:tc>
      </w:tr>
    </w:tbl>
    <w:p/>
    <w:p>
      <w:r>
        <w:br w:type="page"/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本目录用途</w:t>
      </w:r>
    </w:p>
    <w:p>
      <w:pPr>
        <w:spacing w:after="80" w:before="0" w:line="336" w:lineRule="auto"/>
        <w:ind w:firstLine="340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>存放 OpenAPI 3.0 契约文档与 Swagger UI 截图。所有 YAML 须能通过 swagger-cli validate 检查。</w:t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目录结构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2B2B2B"/>
            <w:tcBorders>
              <w:top w:val="single" w:sz="4" w:space="0" w:color="2B2B2B"/>
              <w:left w:val="single" w:sz="4" w:space="0" w:color="2B2B2B"/>
              <w:bottom w:val="single" w:sz="4" w:space="0" w:color="2B2B2B"/>
              <w:right w:val="single" w:sz="4" w:space="0" w:color="2B2B2B"/>
            </w:tcBorders>
          </w:tcPr>
          <w:p>
            <w:r>
              <w:t>OpenAPI 目录包含 reservation-service.yaml 与 member-service.yaml，分别覆盖 ≥8 和 ≥6 个端点；common 目录保留分页与错误响应公共模型；examples 目录提供典型请求。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每个 YAML 须包含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服务概述（info.description）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鉴权方式（components.securitySchemes）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版本策略（servers + path 前缀）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限流策略（x-ratelimit-* 自定义扩展）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错误码字典（components.responses）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戴正宇</dc:creator>
  <cp:keywords/>
  <dc:description>generated by python-docx</dc:description>
  <cp:lastModifiedBy>戴正宇</cp:lastModifiedBy>
  <cp:revision>1</cp:revision>
  <dcterms:created xsi:type="dcterms:W3CDTF">2013-12-23T23:15:00Z</dcterms:created>
  <dcterms:modified xsi:type="dcterms:W3CDTF">2013-12-23T23:15:00Z</dcterms:modified>
  <cp:category/>
</cp:coreProperties>
</file>