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架构演进路线图（12 个月）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架构演进路线图（12 个月）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给 CTO 一份"我们如何从今天走到一年后"的可执行路线图。每个里程碑都要有"成功的样子（Definition of Success）"。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现状评估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现状：团队为课程实验小组，已完成实验一需求基线；已有门店独立排号系统，缺少统一会员、跨门店预约、猫咪档案和运营看板。主要技术债是数据口径分散、预约高峰缺少容量锁、支付状态与预约状态未统一、缺少可观测链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目标态描述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目标态：12 个月后形成微服务 + 事件驱动 + CQRS 架构，核心预约 SLA ≥99.9%，预约提交 P95≤350ms，高峰 5000QPS；新增门店配置零停机；总部可查看跨门店经营指标；ADR、OpenAPI、C4 和数据字典形成可持续治理资产。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阶段规划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里程碑 M1（第 1-3 月）：核心服务上线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M1（第 1-3 月）范围：上线会员、门店、预约、订单支付、通知最小闭环；验收：顾客可完成浏览、预约、点单支付和通知；预约容量锁生效；关键接口有 OpenAPI；风险：支付回调和预约状态不一致。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里程碑 M2（第 4-6 月）：AI 推荐接入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M2（第 4-6 月）范围：引入消息队列、Outbox、运营读模型和基础推荐；验收：预约/订单/会员事件可驱动看板，失败事件可重放；推荐结果有可解释理由；风险：消息积压和读模型延迟。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里程碑 M3（第 7-12 月）：跨境与多租户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M3（第 7-9 月）范围：强化可观测、弹性治理和灰度发布；验收：traceId 覆盖≥95%，关键链路告警≤5分钟，预约服务可水平扩容；风险：服务调用链过长。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M4（第 10-12 月）范围：多区域容灾、合规数据治理和高级运营分析；验收：单 AZ 故障 RTO≤5min，个人信息删除流程≤15工作日，活动 ROI 可按门店/会员分群分析；风险：跨区域数据同步和合规规则变化。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风险登记册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56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应对策略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624"/>
          </w:tcPr>
          <w:p>
            <w:r>
              <w:t>R-01</w:t>
            </w:r>
          </w:p>
        </w:tc>
        <w:tc>
          <w:tcPr>
            <w:tcW w:type="dxa" w:w="1624"/>
          </w:tcPr>
          <w:p>
            <w:r>
              <w:t>微服务运维复杂度超过小组能力</w:t>
            </w:r>
          </w:p>
        </w:tc>
        <w:tc>
          <w:tcPr>
            <w:tcW w:type="dxa" w:w="1624"/>
          </w:tcPr>
          <w:p>
            <w:r>
              <w:t>高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先拆核心服务，非核心保留模块化；用 ADR 管理边界</w:t>
            </w:r>
          </w:p>
        </w:tc>
        <w:tc>
          <w:tcPr>
            <w:tcW w:type="dxa" w:w="1624"/>
          </w:tcPr>
          <w:p>
            <w:r>
              <w:t>戴正宇</w:t>
            </w:r>
          </w:p>
        </w:tc>
      </w:tr>
      <w:tr>
        <w:tc>
          <w:tcPr>
            <w:tcW w:type="dxa" w:w="1624"/>
          </w:tcPr>
          <w:p>
            <w:r>
              <w:t>R-02</w:t>
            </w:r>
          </w:p>
        </w:tc>
        <w:tc>
          <w:tcPr>
            <w:tcW w:type="dxa" w:w="1624"/>
          </w:tcPr>
          <w:p>
            <w:r>
              <w:t>消息积压导致看板延迟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Outbox + 重试 + 死信队列 + 读模型延迟监控</w:t>
            </w:r>
          </w:p>
        </w:tc>
        <w:tc>
          <w:tcPr>
            <w:tcW w:type="dxa" w:w="1624"/>
          </w:tcPr>
          <w:p>
            <w:r>
              <w:t>戴正宇</w:t>
            </w:r>
          </w:p>
        </w:tc>
      </w:tr>
      <w:tr>
        <w:tc>
          <w:tcPr>
            <w:tcW w:type="dxa" w:w="1624"/>
          </w:tcPr>
          <w:p>
            <w:r>
              <w:t>R-03</w:t>
            </w:r>
          </w:p>
        </w:tc>
        <w:tc>
          <w:tcPr>
            <w:tcW w:type="dxa" w:w="1624"/>
          </w:tcPr>
          <w:p>
            <w:r>
              <w:t>第三方支付限流或回调失败</w:t>
            </w:r>
          </w:p>
        </w:tc>
        <w:tc>
          <w:tcPr>
            <w:tcW w:type="dxa" w:w="1624"/>
          </w:tcPr>
          <w:p>
            <w:r>
              <w:t>高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幂等键、对账任务、多通道路由、人工补偿</w:t>
            </w:r>
          </w:p>
        </w:tc>
        <w:tc>
          <w:tcPr>
            <w:tcW w:type="dxa" w:w="1624"/>
          </w:tcPr>
          <w:p>
            <w:r>
              <w:t>戴正宇</w:t>
            </w:r>
          </w:p>
        </w:tc>
      </w:tr>
      <w:tr>
        <w:tc>
          <w:tcPr>
            <w:tcW w:type="dxa" w:w="1624"/>
          </w:tcPr>
          <w:p>
            <w:r>
              <w:t>R-04</w:t>
            </w:r>
          </w:p>
        </w:tc>
        <w:tc>
          <w:tcPr>
            <w:tcW w:type="dxa" w:w="1624"/>
          </w:tcPr>
          <w:p>
            <w:r>
              <w:t>隐私合规规则变化</w:t>
            </w:r>
          </w:p>
        </w:tc>
        <w:tc>
          <w:tcPr>
            <w:tcW w:type="dxa" w:w="1624"/>
          </w:tcPr>
          <w:p>
            <w:r>
              <w:t>高</w:t>
            </w:r>
          </w:p>
        </w:tc>
        <w:tc>
          <w:tcPr>
            <w:tcW w:type="dxa" w:w="1624"/>
          </w:tcPr>
          <w:p>
            <w:r>
              <w:t>低</w:t>
            </w:r>
          </w:p>
        </w:tc>
        <w:tc>
          <w:tcPr>
            <w:tcW w:type="dxa" w:w="1624"/>
          </w:tcPr>
          <w:p>
            <w:r>
              <w:t>隐私授权中心化、脱敏调用、定期审计</w:t>
            </w:r>
          </w:p>
        </w:tc>
        <w:tc>
          <w:tcPr>
            <w:tcW w:type="dxa" w:w="1624"/>
          </w:tcPr>
          <w:p>
            <w:r>
              <w:t>戴正宇</w:t>
            </w:r>
          </w:p>
        </w:tc>
      </w:tr>
      <w:tr>
        <w:tc>
          <w:tcPr>
            <w:tcW w:type="dxa" w:w="1624"/>
          </w:tcPr>
          <w:p>
            <w:r>
              <w:t>R-05</w:t>
            </w:r>
          </w:p>
        </w:tc>
        <w:tc>
          <w:tcPr>
            <w:tcW w:type="dxa" w:w="1624"/>
          </w:tcPr>
          <w:p>
            <w:r>
              <w:t>推荐结果影响猫咪健康或顾客体验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中</w:t>
            </w:r>
          </w:p>
        </w:tc>
        <w:tc>
          <w:tcPr>
            <w:tcW w:type="dxa" w:w="1624"/>
          </w:tcPr>
          <w:p>
            <w:r>
              <w:t>猫咪健康状态优先，推荐结果可解释且可关闭</w:t>
            </w:r>
          </w:p>
        </w:tc>
        <w:tc>
          <w:tcPr>
            <w:tcW w:type="dxa" w:w="1624"/>
          </w:tcPr>
          <w:p>
            <w:r>
              <w:t>戴正宇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治理机制：每个里程碑结束进行 ADR 回顾、C4 图更新和 OpenAPI 契约检查；所有跨服务接口必须有负责人、错误码、traceId 和兼容策略；关键架构风险进入风险清单并在下一阶段闭环。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退出与回滚策略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回滚策略：M1 回滚到门店原有排号系统并保留只读同步；M2 读模型异常时回退到交易库只读查询；M3 灰度失败时关闭新版本流量并保留数据库向后兼容字段；M4 多区域策略异常时切回单区域主写，暂停跨境/跨区同步。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