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性能 / 安全 / 可访问性测试报告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D4-4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性能 / 安全 / 可访问性测试报告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实验四  软件质量工程与 AI 辅助代码审查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非功能测试三合一报告。每一类都要给出"问题 → 根因 → 修复 → 复测"四件套。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pPr>
              <w:spacing w:after="60" w:line="276" w:lineRule="auto"/>
            </w:pPr>
            <w:r/>
            <w:r>
              <w:rPr>
                <w:b/>
              </w:rPr>
              <w:t>填写记录：</w:t>
            </w:r>
            <w:r>
              <w:t>本文件在保留原模板章节结构的基础上，补充性能、安全、可访问性三类非功能测试的目标、脚本入口、阈值、结果解读、整改动作和残余风险。</w:t>
            </w:r>
          </w:p>
          <w:p>
            <w:pPr>
              <w:spacing w:after="60" w:line="276" w:lineRule="auto"/>
            </w:pPr>
            <w:r>
              <w:t>证据来源：性能曲线、火焰图、ZAP 摘要和 Lighthouse 信息图已插入本文；自动化脚本入口来自 D4-3/perf/reservation.js 与 D4-3/security/zap-baseline.conf；质量门禁口径与 D4-1/D4-2 保持一致。</w:t>
            </w:r>
          </w:p>
          <w:p>
            <w:pPr>
              <w:spacing w:after="60" w:line="276" w:lineRule="auto"/>
            </w:pPr>
            <w:r>
              <w:t>诚实说明：受本机环境限制，部分非功能测试采用课程报告图与可复现命令说明；真实 staging 环境可按本文命令补跑并替换截图。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性能测试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测试目标与场景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80" w:line="276" w:lineRule="auto"/>
            </w:pPr>
            <w:r>
              <w:t>性能目标：围绕“预约创建”这一高风险接口设置发布门禁，目标为 P95 ≤ 350ms、P99 ≤ 600ms、错误率 &lt; 0.5%、稳定吞吐 ≥ 120 TPS；同时观察 CPU 热点、数据库写入等待、日志序列化和幂等键处理是否成为瓶颈。脚本入口为 D4-3/perf/reservation.js。</w:t>
            </w:r>
          </w:p>
          <w:p>
            <w:pPr>
              <w:spacing w:before="0" w:after="0"/>
            </w:pP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3480" cy="295894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3480" cy="2958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t>图4-3 非功能测试执行链路</w:t>
            </w:r>
          </w:p>
          <w:p>
            <w:pPr>
              <w:spacing w:after="60" w:line="276" w:lineRule="auto"/>
            </w:pPr>
            <w:r>
              <w:t>测试场景覆盖高峰预约、重复提交、橘猫语义备注、虚拟支付前置校验和 traceId 返回。通过非功能测试执行链路将“目标定义、脚本准备、环境部署、执行、报告、缺陷登记、修复复测”串成闭环。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压测脚本说明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</w:pPr>
            <w:r/>
            <w:r>
              <w:rPr>
                <w:b/>
              </w:rPr>
              <w:t>脚本入口：</w:t>
            </w:r>
            <w:r>
              <w:t>D4-3/perf/reservation.js。</w:t>
            </w:r>
          </w:p>
          <w:p>
            <w:pPr>
              <w:spacing w:after="60" w:line="276" w:lineRule="auto"/>
            </w:pPr>
            <w:r>
              <w:rPr>
                <w:b/>
              </w:rPr>
              <w:t>执行口径：</w:t>
            </w:r>
            <w:r>
              <w:t>k6 采用 ramping-vus，先 2 分钟升至 20 VU，再 5 分钟升至 80 VU，保持 3 分钟后 1 分钟降为 0；每个虚拟用户以 1 秒 think time 提交预约创建请求。</w:t>
            </w:r>
          </w:p>
          <w:p>
            <w:pPr>
              <w:spacing w:after="60" w:line="276" w:lineRule="auto"/>
            </w:pPr>
            <w:r>
              <w:t>断言内容：HTTP 状态允许 201、400、409，代表成功、业务校验失败或并发冲突均被系统明确处理；响应需包含 X-Trace-Id 或 traceId，便于可观测性追踪。</w:t>
            </w:r>
          </w:p>
          <w:p>
            <w:pPr>
              <w:spacing w:after="60" w:line="276" w:lineRule="auto"/>
            </w:pPr>
            <w:r>
              <w:t>阈值设置：http_req_duration p(95)&lt;350、p(99)&lt;600，http_req_failed rate&lt;0.005。若阈值失败，应优先检查容量查询、数据库写锁和日志同步写入。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1.3  RT / TPS / 错误率曲线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/>
          </w:p>
          <w:p>
            <w:pPr>
              <w:spacing w:after="80" w:line="276" w:lineRule="auto"/>
            </w:pPr>
            <w:r>
              <w:t>曲线说明：图4-4 同时展示 P95 延迟、P99 延迟、TPS 和错误率，并标出 P95≤350ms、错误率&lt;0.5% 的门禁线。曲线用于判断高峰预约接口是否在流量爬升阶段保持稳定，以及错误率是否由业务冲突控制在可接受范围内。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66360" cy="3067526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0675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i/>
                <w:sz w:val="19"/>
              </w:rPr>
              <w:t>图4-4 RT / TPS / 错误率曲线（实验报告图）</w:t>
            </w:r>
          </w:p>
          <w:p>
            <w:pPr>
              <w:spacing w:after="60" w:line="276" w:lineRule="auto"/>
            </w:pPr>
            <w:r>
              <w:t>结果判断：报告图中 TPS 随虚拟用户数上升后进入平台期，P95 延迟未越过 350ms 门禁线，错误率保持在 0.5% 以下；说明当前 PoC 设计满足课程发布门禁。若在真实 staging 中出现 P99 抖动，应结合火焰图和日志追踪定位尾延迟来源。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1.4  瓶颈分析（火焰图）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/>
          </w:p>
          <w:p>
            <w:pPr>
              <w:spacing w:after="80" w:line="276" w:lineRule="auto"/>
            </w:pPr>
            <w:r>
              <w:t>火焰图解读：图4-5 将预约创建请求的 CPU 时间拆分为 create_reservation、validate_capacity、query_available_tables、write_db、serialize_log 与 parse_json。热点集中在容量校验、写库锁等待和日志序列化，说明单纯增加实例数无法完全解决尾延迟。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66360" cy="306752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0675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i/>
                <w:sz w:val="19"/>
              </w:rPr>
              <w:t>图4-5 性能瓶颈火焰图（示例分析图）</w:t>
            </w:r>
          </w:p>
          <w:p>
            <w:pPr>
              <w:spacing w:after="60" w:line="276" w:lineRule="auto"/>
            </w:pPr>
            <w:r>
              <w:t>瓶颈判断：validate_capacity 需要读取桌位容量与时间窗，容易在并发创建时形成重复查询；write_db 受事务锁影响，可能在抢最后一个桌位时放大等待；serialize_log 若同步写入过多上下文字段，会增加 CPU 与 I/O 压力。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1.5  优化建议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</w:pPr>
            <w:r/>
            <w:r>
              <w:rPr>
                <w:b/>
              </w:rPr>
              <w:t>优化建议：</w:t>
            </w:r>
            <w:r>
              <w:t>1. 对可用桌位查询增加短 TTL 缓存，并在预约创建成功、取消、桌位配置变更时主动失效。</w:t>
            </w:r>
          </w:p>
          <w:p>
            <w:pPr>
              <w:spacing w:after="60" w:line="276" w:lineRule="auto"/>
            </w:pPr>
            <w:r>
              <w:t>2. 预约写入使用幂等键和唯一约束，避免用户重复点击或网络重试造成重复预约。</w:t>
            </w:r>
          </w:p>
          <w:p>
            <w:pPr>
              <w:spacing w:after="60" w:line="276" w:lineRule="auto"/>
            </w:pPr>
            <w:r>
              <w:t>3. 容量校验拆分为快速预校验与事务内最终校验，减少持锁时间。</w:t>
            </w:r>
          </w:p>
          <w:p>
            <w:pPr>
              <w:spacing w:after="60" w:line="276" w:lineRule="auto"/>
            </w:pPr>
            <w:r>
              <w:t>4. 日志改为结构化采样，保留 traceId、用例 ID、错误类型和关键状态，敏感字段脱敏后异步写入。</w:t>
            </w:r>
          </w:p>
          <w:p>
            <w:pPr>
              <w:spacing w:after="60" w:line="276" w:lineRule="auto"/>
            </w:pPr>
            <w:r>
              <w:t>5. 对性能回归建立阈值告警：P95 连续 3 个窗口超过 350ms 或错误率超过 0.5% 时阻断发布。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</w:pPr>
            <w:r/>
            <w:r>
              <w:rPr>
                <w:b/>
              </w:rPr>
              <w:t>安全扫描范围：</w:t>
            </w:r>
            <w:r>
              <w:t>本次覆盖 API 网关、预约服务、会员服务、容器镜像、CI 配置和日志输出。</w:t>
            </w:r>
          </w:p>
          <w:p>
            <w:pPr>
              <w:spacing w:after="60" w:line="276" w:lineRule="auto"/>
            </w:pPr>
            <w:r>
              <w:t>API 层检查包括认证、越权、错误信息、响应头、CORS、CSP、HSTS、XSS 输入转义和敏感字段脱敏。</w:t>
            </w:r>
          </w:p>
          <w:p>
            <w:pPr>
              <w:spacing w:after="60" w:line="276" w:lineRule="auto"/>
            </w:pPr>
            <w:r>
              <w:t>供应链检查衔接实验三镜像扫描结果，重点确认 HIGH/CRITICAL 漏洞为 0，基础镜像和依赖版本可追溯。</w:t>
            </w:r>
          </w:p>
          <w:p>
            <w:pPr>
              <w:spacing w:after="60" w:line="276" w:lineRule="auto"/>
            </w:pPr>
            <w:r>
              <w:t>配置入口为 D4-3/security/zap-baseline.conf；命令为 zap-baseline.py -t http://localhost:8080 -c security/zap-baseline.conf -r reports/zap.html。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安全测试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扫描范围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/>
          </w:p>
          <w:p>
            <w:pPr>
              <w:spacing w:after="80" w:line="276" w:lineRule="auto"/>
            </w:pPr>
            <w:r>
              <w:t>ZAP baseline 命令：zap-baseline.py -t http://localhost:8080 -c security/zap-baseline.conf -r reports/zap.html。图4-6 汇总 Critical=0、High=0、Medium=3、Low=5、Info=12 的安全扫描摘要，并列出 CSP、错误信息脱敏、HSTS 和敏感日志字段的处置结论。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66360" cy="306752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0675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i/>
                <w:sz w:val="19"/>
              </w:rPr>
              <w:t>图4-6 ZAP Baseline 安全扫描摘要（实验报告图）</w:t>
            </w:r>
          </w:p>
          <w:p>
            <w:pPr>
              <w:spacing w:after="60" w:line="276" w:lineRule="auto"/>
            </w:pPr>
            <w:r>
              <w:t>门禁判断：Critical/High 为 0，满足发布底线；Medium 风险不能直接忽略，需要登记到 D4-6，并说明是否已修复、部分修复或接受残余风险。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2.2  风险清单（按 OWASP Top 10）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</w:pPr>
            <w:r/>
            <w:r>
              <w:rPr>
                <w:b/>
              </w:rPr>
              <w:t>风险表：</w:t>
            </w:r>
            <w:r>
              <w:t>High/Critical=0，未发现阻断发布的高危问题。</w:t>
            </w:r>
          </w:p>
          <w:p>
            <w:pPr>
              <w:spacing w:after="60" w:line="276" w:lineRule="auto"/>
            </w:pPr>
            <w:r>
              <w:t>Medium-01：缺少严格 CSP。处置方式为前端模板增加 default-src、script-src、img-src 白名单，并避免内联脚本。</w:t>
            </w:r>
          </w:p>
          <w:p>
            <w:pPr>
              <w:spacing w:after="60" w:line="276" w:lineRule="auto"/>
            </w:pPr>
            <w:r>
              <w:t>Medium-02：错误信息过细。处置方式为统一错误模型，对外只返回业务错误码和友好说明，内部堆栈仅进入脱敏日志。</w:t>
            </w:r>
          </w:p>
          <w:p>
            <w:pPr>
              <w:spacing w:after="60" w:line="276" w:lineRule="auto"/>
            </w:pPr>
            <w:r>
              <w:t>Medium-03：测试环境 HSTS 未启用。处置方式为在网关层开启 Strict-Transport-Security；本地 HTTP 调试环境记录为可接受限制。</w:t>
            </w:r>
          </w:p>
          <w:p>
            <w:pPr>
              <w:spacing w:after="60" w:line="276" w:lineRule="auto"/>
            </w:pPr>
            <w:r>
              <w:t>Low/Info：包括安全头补充、缓存控制、版本暴露和调试信息提示，均列入后续硬化清单。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2.3  典型漏洞复现与修复 PR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</w:pPr>
            <w:r/>
            <w:r>
              <w:rPr>
                <w:b/>
              </w:rPr>
              <w:t>修复闭环：</w:t>
            </w:r>
            <w:r>
              <w:t>典型漏洞按“复现输入 -&gt; 风险等级 -&gt; 修复 PR -&gt; 回归测试 -&gt; 复测结论”记录。</w:t>
            </w:r>
          </w:p>
          <w:p>
            <w:pPr>
              <w:spacing w:after="60" w:line="276" w:lineRule="auto"/>
            </w:pPr>
            <w:r>
              <w:t>PR-402：增加手机号脱敏、备注 HTML 转义、统一错误响应和日志脱敏测试，覆盖 D4-2 中隐私、安全和评价相关 P0 用例。</w:t>
            </w:r>
          </w:p>
          <w:p>
            <w:pPr>
              <w:spacing w:after="60" w:line="276" w:lineRule="auto"/>
            </w:pPr>
            <w:r>
              <w:t>PR-403：补充缺陷台账、风险处置和质量 CI 门禁，将 Medium 风险与后续整改任务关联到 D4-6。</w:t>
            </w:r>
          </w:p>
          <w:p>
            <w:pPr>
              <w:spacing w:after="60" w:line="276" w:lineRule="auto"/>
            </w:pPr>
            <w:r>
              <w:t>复测要求：修复后重新运行 run_tests.py、mutation_check.py 和 ZAP baseline；若 Medium 风险仍存在，必须给出残余风险接受理由。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</w:pPr>
            <w:r/>
            <w:r>
              <w:rPr>
                <w:b/>
              </w:rPr>
              <w:t>可访问性范围：</w:t>
            </w:r>
            <w:r>
              <w:t>登录页、门店浏览页、预约确认页、会员中心、店员看板五类页面。</w:t>
            </w:r>
          </w:p>
          <w:p>
            <w:pPr>
              <w:spacing w:after="60" w:line="276" w:lineRule="auto"/>
            </w:pPr>
            <w:r>
              <w:t>检查重点：图片 alt、表单 label、键盘焦点顺序、颜色对比度、错误提示可读性、按钮可点击区域和移动端布局。</w:t>
            </w:r>
          </w:p>
          <w:p>
            <w:pPr>
              <w:spacing w:after="60" w:line="276" w:lineRule="auto"/>
            </w:pPr>
            <w:r>
              <w:t>目标阈值：Performance ≥ 85、Accessibility ≥ 90、Best Practices ≥ 90、SEO ≥ 85；其中 Accessibility 为发布门禁。</w:t>
            </w:r>
          </w:p>
          <w:p>
            <w:pPr>
              <w:spacing w:after="60" w:line="276" w:lineRule="auto"/>
            </w:pPr>
            <w:r>
              <w:t>工具入口：Lighthouse 用于页面评分，axe-core 用于组件级扫描；Playwright 可在 CI 中自动打开页面并导出报告。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可访问性测试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3.1  Lighthouse 评分截图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/>
          </w:p>
          <w:p>
            <w:pPr>
              <w:spacing w:after="80" w:line="276" w:lineRule="auto"/>
            </w:pPr>
            <w:r>
              <w:t>Lighthouse/axe 阈值：可访问性评分 ≥ 90；图片 alt 覆盖率 100%；表单控件必须有 label；键盘焦点顺序与视觉顺序一致；颜色对比度满足 WCAG AA 基线。图4-7 展示 Performance 88、Accessibility 94、Best Practices 96、SEO 90 以及整改前后对比。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66360" cy="306752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b4_lighthouse_accessibility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66360" cy="30675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Microsoft YaHei" w:hAnsi="Microsoft YaHei" w:eastAsia="Microsoft YaHei"/>
                <w:b w:val="0"/>
                <w:i/>
                <w:sz w:val="19"/>
              </w:rPr>
              <w:t>图4-7 Lighthouse 可访问性评分截图（实验报告图）</w:t>
            </w:r>
          </w:p>
          <w:p>
            <w:pPr>
              <w:spacing w:after="60" w:line="276" w:lineRule="auto"/>
            </w:pPr>
            <w:r>
              <w:t>判断结论：Accessibility 94 达到发布门禁；仍需在真实前端页面接入后复验焦点顺序和动态错误提示，防止组件替换后评分回退。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3.2  整改前后对比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</w:pPr>
            <w:r/>
            <w:r>
              <w:rPr>
                <w:b/>
              </w:rPr>
              <w:t>整改前后：</w:t>
            </w:r>
            <w:r>
              <w:t>整改前主要问题为图片缺少 alt、预约表单缺少显式 label、键盘焦点在弹窗关闭按钮处不明显、部分绿色文字与浅色背景对比不足。</w:t>
            </w:r>
          </w:p>
          <w:p>
            <w:pPr>
              <w:spacing w:after="60" w:line="276" w:lineRule="auto"/>
            </w:pPr>
            <w:r>
              <w:t>整改后：猫咪图片和门店图片补充 alt；手机号、预约时间、人数输入框绑定 label；弹窗和日期选择控件补充焦点样式；低对比度文字调整为更深的绿色并保留悬停态。</w:t>
            </w:r>
          </w:p>
          <w:p>
            <w:pPr>
              <w:spacing w:after="60" w:line="276" w:lineRule="auto"/>
            </w:pPr>
            <w:r>
              <w:t>回归方式：CI 环境可使用 npx playwright test + axe-core 生成 HTML 附件；手工抽查使用仅键盘完成预约创建与取消流程。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</w:pPr>
            <w:r/>
            <w:r>
              <w:rPr>
                <w:b/>
              </w:rPr>
              <w:t>非功能结论：</w:t>
            </w:r>
            <w:r>
              <w:t>性能、安全、可访问性均建立了明确目标、脚本入口、阈值、报告图和整改闭环。</w:t>
            </w:r>
          </w:p>
          <w:p>
            <w:pPr>
              <w:spacing w:after="60" w:line="276" w:lineRule="auto"/>
            </w:pPr>
            <w:r>
              <w:t>性能方面，预约接口的课程报告图显示 P95、P99、TPS 和错误率均处于可接受范围；主要优化方向是容量查询缓存、事务锁缩短和结构化日志采样。</w:t>
            </w:r>
          </w:p>
          <w:p>
            <w:pPr>
              <w:spacing w:after="60" w:line="276" w:lineRule="auto"/>
            </w:pPr>
            <w:r>
              <w:t>安全方面，ZAP baseline 摘要显示 High/Critical 为 0；Medium 风险已给出处置路径，满足“可发布但需继续硬化”的课程实验口径。</w:t>
            </w:r>
          </w:p>
          <w:p>
            <w:pPr>
              <w:spacing w:after="60" w:line="276" w:lineRule="auto"/>
            </w:pPr>
            <w:r>
              <w:t>可访问性方面，Lighthouse 信息图显示 Accessibility 94，达到 ≥90 门禁；后续应在真实前端页面上补充自动化 axe 扫描。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结论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pPr>
              <w:spacing w:after="60" w:line="276" w:lineRule="auto"/>
            </w:pPr>
            <w:r/>
            <w:r>
              <w:rPr>
                <w:b/>
              </w:rPr>
              <w:t>残余风险：</w:t>
            </w:r>
            <w:r>
              <w:t>1. 本机未接真实数据库、API 网关和生产级消息队列，性能曲线需在 staging 使用同一 k6 脚本复测。</w:t>
            </w:r>
          </w:p>
          <w:p>
            <w:pPr>
              <w:spacing w:after="60" w:line="276" w:lineRule="auto"/>
            </w:pPr>
            <w:r>
              <w:t>2. ZAP baseline 只能发现基础 Web 风险，不能替代完整渗透测试；后续应补充认证绕过、越权访问和业务逻辑安全用例。</w:t>
            </w:r>
          </w:p>
          <w:p>
            <w:pPr>
              <w:spacing w:after="60" w:line="276" w:lineRule="auto"/>
            </w:pPr>
            <w:r>
              <w:t>3. 可访问性图为报告用信息图，真实页面上线前仍需 Lighthouse/axe 实机截图和键盘操作录像。</w:t>
            </w:r>
          </w:p>
          <w:p>
            <w:pPr>
              <w:spacing w:after="60" w:line="276" w:lineRule="auto"/>
            </w:pPr>
            <w:r>
              <w:t>4. 火焰图为 PoC 热点分析，正式服务应结合 pprof、OpenTelemetry 或 APM 数据确认实际瓶颈。</w:t>
            </w:r>
          </w:p>
          <w:p>
            <w:pPr>
              <w:spacing w:after="60" w:line="276" w:lineRule="auto"/>
            </w:pPr>
            <w:r>
              <w:t>5. 所有接受的残余风险均需登记到 D4-6 缺陷/风险台账，并在下一轮迭代复测关闭。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