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_说明.docx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D2-5_OpenAPI契约文档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存放典型请求 / 响应 JSON 示例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内容大纲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 w:val="0"/>
          <w:sz w:val="21"/>
        </w:rPr>
        <w:t>• 示例覆盖核心写接口、查询接口、隐私授权和统一错误响应，可直接作为接口评审与联调输入。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本目录存放典型请求和响应 JSON，用于说明契约字段的真实取值、错误处理和联调场景。示例不是随意样例，而是每个关键接口的最小可评审输入。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对应端点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用途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关键字段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create-reservation-request.json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/reservations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演示顾客创建预约时的最小有效请求。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memberId、storeId、tableId、timeSlot、partySize、specialRequest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create-reservation-response.json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POST /reservations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演示创建成功后的预约状态与押金状态。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id、depositStatus、status、traceId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availability-response.json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 /availability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演示可预约桌位列表返回结构。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tableId、timeSlot、capacity、remaining、catAvailable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member-consent-request.json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PUT /members/me/consents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演示会员撤回营销授权。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type、granted、policyVersion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member-profile-response.json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GET /members/me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演示脱敏会员资料返回。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phoneMasked、level、points、preferenceTags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error-response-409.json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409 Conflict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演示容量冲突或重复提交的统一错误响应。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code、message、traceId、details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示例数据补充说明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请求示例用于验证必填字段、字段类型、枚举值和业务约束是否清晰。响应示例用于验证状态码、业务状态、traceId、错误码和脱敏字段是否符合契约。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示例文件应覆盖正常场景、边界场景和异常场景。例如创建预约需要同时说明成功返回、容量冲突、重复提交和支付待确认；会员授权需要说明授权、撤回和数据导出的差异。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示例类型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检查重点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使用方式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成功请求/响应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字段完整、枚举合法、状态机可解释。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作为联调和测试基线。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错误响应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错误码、message、traceId、details 结构统一。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用于前端提示和自动化测试。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隐私相关示例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手机号、授权状态、删除/导出字段不泄露敏感原文。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用于安全和合规评审。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