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701"/>
            <w:shd w:val="clear" w:color="auto" w:fill="EAF6EF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EAF6E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D2-5_OpenAPI契约文档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存放 Swagger UI 截图（PNG）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戴正宇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2026-05-14</w:t>
            </w:r>
          </w:p>
        </w:tc>
      </w:tr>
    </w:tbl>
    <w:p>
      <w:pPr>
        <w:spacing w:line="269" w:lineRule="auto" w:after="60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60" w:line="269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• 本目录提供契约预览图；若课程要求工具截图，可用 Swagger UI 打开 YAML 后替换为实际页面截图。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文档说明</w:t>
            </w:r>
          </w:p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本目录存放 Swagger UI 或契约预览截图，用于展示 OpenAPI 文档可被工具识别和浏览。截图只作为评审辅助，最终以 YAML 契约和 JSON 示例为准。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说明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覆盖内容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使用场景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reservation-service-overview.png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预约服务契约概览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端点清单、核心 Schema、质量约束、幂等与冲突处理。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答辩说明、接口评审。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member-service-overview.png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会员服务契约概览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资料、偏好、授权、积分、优惠券、删除/导出请求。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答辩说明、隐私合规说明。</w:t>
            </w:r>
          </w:p>
        </w:tc>
      </w:tr>
    </w:tbl>
    <w:p>
      <w:pPr>
        <w:spacing w:line="269" w:lineRule="auto" w:after="60"/>
      </w:pPr>
    </w:p>
    <w:p>
      <w:pPr>
        <w:spacing w:line="269" w:lineRule="auto" w:after="60" w:before="200"/>
      </w:pPr>
      <w:r>
        <w:rPr>
          <w:rFonts w:ascii="Microsoft YaHei" w:hAnsi="Microsoft YaHei" w:eastAsia="Microsoft YaHei"/>
          <w:b w:val="0"/>
          <w:sz w:val="21"/>
        </w:rPr>
      </w:r>
      <w:r>
        <w:rPr>
          <w:rFonts w:ascii="Microsoft YaHei" w:hAnsi="Microsoft YaHei" w:eastAsia="Microsoft YaHei"/>
          <w:b/>
          <w:color w:val="007046"/>
          <w:sz w:val="27"/>
        </w:rPr>
        <w:t>契约截图补充说明</w:t>
      </w:r>
    </w:p>
    <w:p>
      <w:pPr>
        <w:spacing w:line="269" w:lineRule="auto" w:after="60"/>
      </w:pPr>
      <w:r>
        <w:rPr>
          <w:rFonts w:ascii="Microsoft YaHei" w:hAnsi="Microsoft YaHei" w:eastAsia="Microsoft YaHei"/>
          <w:b w:val="0"/>
          <w:sz w:val="21"/>
        </w:rPr>
      </w:r>
      <w:r>
        <w:rPr>
          <w:rFonts w:ascii="Microsoft YaHei" w:hAnsi="Microsoft YaHei" w:eastAsia="Microsoft YaHei"/>
          <w:b w:val="0"/>
          <w:sz w:val="21"/>
        </w:rPr>
        <w:t>截图应覆盖服务概览、端点列表、核心 Schema、鉴权要求和典型错误响应。若截图与 YAML 不一致，应更新截图而不是修改契约去迎合截图。</w:t>
      </w:r>
    </w:p>
    <w:p>
      <w:pPr>
        <w:spacing w:line="269" w:lineRule="auto" w:after="60"/>
      </w:pPr>
      <w:r>
        <w:rPr>
          <w:rFonts w:ascii="Microsoft YaHei" w:hAnsi="Microsoft YaHei" w:eastAsia="Microsoft YaHei"/>
          <w:b w:val="0"/>
          <w:sz w:val="21"/>
        </w:rPr>
      </w:r>
      <w:r>
        <w:rPr>
          <w:rFonts w:ascii="Microsoft YaHei" w:hAnsi="Microsoft YaHei" w:eastAsia="Microsoft YaHei"/>
          <w:b w:val="0"/>
          <w:sz w:val="21"/>
        </w:rPr>
        <w:t>评审时可以用截图快速确认契约结构是否清晰，但具体字段约束、枚举、必填项和错误模型仍需回到 YAML 文件检查。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EAF6EF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007046"/>
                <w:sz w:val="19"/>
              </w:rPr>
              <w:t>截图</w:t>
            </w:r>
          </w:p>
        </w:tc>
        <w:tc>
          <w:tcPr>
            <w:tcW w:type="dxa" w:w="3249"/>
            <w:vAlign w:val="center"/>
            <w:shd w:fill="EAF6EF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007046"/>
                <w:sz w:val="19"/>
              </w:rPr>
              <w:t>说明</w:t>
            </w:r>
          </w:p>
        </w:tc>
        <w:tc>
          <w:tcPr>
            <w:tcW w:type="dxa" w:w="3249"/>
            <w:vAlign w:val="center"/>
            <w:shd w:fill="EAF6EF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007046"/>
                <w:sz w:val="19"/>
              </w:rPr>
              <w:t>评审关注点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reservation-service-overview.png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预约服务端点与核心 Schema 概览。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预约状态机、幂等键、容量冲突。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member-service-overview.png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会员服务端点与隐私相关接口概览。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脱敏字段、授权撤回、删除/导出请求。</w:t>
            </w:r>
          </w:p>
        </w:tc>
      </w:tr>
    </w:tbl>
    <w:p>
      <w:pPr>
        <w:spacing w:line="269" w:lineRule="auto" w:after="6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