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60" w:line="269" w:lineRule="auto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数据模型 ER 图与数据字典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>
      <w:pPr>
        <w:spacing w:line="269" w:lineRule="auto"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984"/>
            <w:shd w:val="clear" w:color="auto" w:fill="EAF6EF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EAF6E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数据模型 ER 图与数据字典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实验二  软件架构设计与微服务拆分实践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2026-05-14</w:t>
            </w:r>
          </w:p>
        </w:tc>
      </w:tr>
    </w:tbl>
    <w:p>
      <w:pPr>
        <w:spacing w:line="269" w:lineRule="auto" w:after="60"/>
      </w:pP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  <w:br w:type="page"/>
      </w: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60" w:before="0" w:line="269" w:lineRule="auto"/>
        <w:ind w:firstLine="340"/>
        <w:jc w:val="left"/>
      </w:pPr>
      <w:r>
        <w:rPr>
          <w:rFonts w:ascii="Microsoft YaHei" w:hAnsi="Microsoft YaHei" w:eastAsia="Microsoft YaHei"/>
          <w:b/>
          <w:color w:val="2B2B2B"/>
          <w:sz w:val="21"/>
        </w:rPr>
        <w:t>以"上下文 → 实体 → 字段"三层组织数据模型。所有跨境字段须打 [GDPR] 标记。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tblHeader w:val="true"/>
        </w:trPr>
        <w:tc>
          <w:tcPr>
            <w:tcW w:type="dxa" w:w="9746"/>
            <w:shd w:val="clear" w:color="auto" w:fill="EAF6EF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文档说明</w:t>
            </w:r>
          </w:p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本文件已完成按上下文划分的 ER 图、数据字典、字段级约束、索引设计、审计要求与隐私合规标注。ER 图用于说明实体边界，数据字典用于说明字段语义和接口约束。</w:t>
            </w:r>
          </w:p>
        </w:tc>
      </w:tr>
    </w:tbl>
    <w:p>
      <w:pPr>
        <w:spacing w:line="269" w:lineRule="auto" w:after="60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ER 图（按上下文分图）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tblHeader w:val="true"/>
        </w:trP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ER 图按预约、会员、门店三个核心/支撑上下文组织，标注主键、外键、个人信息字段和主要一对多关系。跨上下文数据不直接共享业务表，优先通过 API 或领域事件集成。</w:t>
            </w:r>
          </w:p>
          <w:p>
            <w:pPr>
              <w:spacing w:line="259" w:lineRule="auto" w:after="20"/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5897880" cy="3931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97880" cy="393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line="269" w:lineRule="auto" w:after="60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表名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中文名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业务含义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关键字段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备注/约束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t_customer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顾客表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注册顾客基础身份，供会员上下文维护账号。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phone_hash / nickname / status / created_at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[PII] 手机号散列，不保存明文。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t_member_profile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会员画像表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等级、积分、偏好与联系偏好。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member_id / level / total_points / preference_tags / contact_preference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[PII] preference_tags 仅限推荐与履约使用。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t_privacy_consent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隐私授权表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记录授权类型、版本、撤回状态。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member_id / consent_type / granted / policy_version / updated_at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所有变更写入审计日志。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t_store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门店表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门店基础资料和营业状态。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city / address / phone / status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store_id 是门店级隔离根。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t_table_slot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桌位表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可预约桌位与区域容量。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store_id / table_no / capacity / area_type / status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预约容量来源。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t_business_hours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营业规则表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营业时间、闭店、包场与灰度规则。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store_id / weekday / open_at / close_at / rule_type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支持门店配置灰度发布。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t_reservation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预约表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预约生命周期主表。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member_id / store_id / table_id / time_slot_start / status / trace_id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按月分区；高频查询字段建组合索引。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t_waitlist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候补表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满座时的候补队列。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store_id / member_id / desired_slot / rank / status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队列转正后关联 reservation_id。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t_capacity_lock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容量锁表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并发创建预约时的短期容量锁。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table_id / time_slot_start / expires_at / token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唯一索引防止重复占用；TTL 清理。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t_order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订单表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到店消费订单主表。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reservation_id / member_id / amount / status / paid_at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与预约弱关联，支持无预约消费。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t_order_item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订单明细表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菜品、周边等明细。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order_id / sku_id / quantity / price / subtotal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明细金额不可变。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t_payment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支付表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押金、订单支付与第三方回调。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order_id / channel / amount / status / idempotency_key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idempotency_key 唯一。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t_refund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退款表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退款申请、回调和人工处理。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payment_id / amount / reason / status / completed_at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保留外部退款单号。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t_cat_profile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猫咪档案表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猫咪资料、性格和可互动状态。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store_id / name / temperament / available_status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推荐输入，但不作医疗诊断。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t_health_check_in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健康打卡表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每日健康和异常记录。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cat_id / appetite / energy / temperature / abnormal_flag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异常触发通知与运营看板。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t_campaign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活动表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营销活动配置与目标规则。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store_scope / segment_rule / start_at / end_at / status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只保存规则，不复制会员敏感信息。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t_coupon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优惠券表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会员领取、使用和过期。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campaign_id / member_id / code / status / valid_until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与会员、订单弱关联。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t_metric_snapshot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指标快照表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运营看板读模型。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store_id / metric_date / turnover_rate / revenue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CQRS 读模型，可重建。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t_notification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通知记录表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短信、站内信、邮件发送状态。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target_member_id / channel / template_id / status / retry_count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[PII] 通知目标脱敏存储。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t_audit_log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审计日志表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关键操作和授权变更留痕。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 / actor_id / action / object_id / trace_id / created_at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不可变追加；180 天以上保留。</w:t>
            </w:r>
          </w:p>
        </w:tc>
      </w:tr>
    </w:tbl>
    <w:p>
      <w:pPr>
        <w:spacing w:line="269" w:lineRule="auto" w:after="60"/>
      </w:pPr>
    </w:p>
    <w:p>
      <w:pPr>
        <w:keepNext/>
        <w:spacing w:before="200" w:after="60" w:line="269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字段级数据字典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表名</w:t>
            </w:r>
          </w:p>
        </w:tc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字段</w:t>
            </w:r>
          </w:p>
        </w:tc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类型</w:t>
            </w:r>
          </w:p>
        </w:tc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约束</w:t>
            </w:r>
          </w:p>
        </w:tc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含义</w:t>
            </w:r>
          </w:p>
        </w:tc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数据分类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t_reservation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PK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预约唯一编号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普通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t_reservation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member_id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FK, NOT NULL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发起预约的会员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内部标识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t_reservation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store_id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FK, NOT NULL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预约所属门店，用于租户隔离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内部标识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t_reservation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table_id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FK, NOT NULL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被预约桌位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普通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t_reservation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time_slot_start/end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DATETIME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预约开始与结束时间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普通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t_reservation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party_size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INT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1-12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就餐人数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普通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t_reservation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special_request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VARCHAR(500)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可空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儿童同行、过敏等特殊需求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敏感个人信息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t_reservation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VARCHAR(32)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枚举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PENDING_PAYMENT/CONFIRMED/CHECKED_IN/CANCELLED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普通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t_reservation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VARCHAR(64)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链路追踪 ID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运维数据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t_capacity_lock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table_id + time_slot_start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BIGINT + DATETIME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UNIQUE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容量锁唯一键，防止重复预约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普通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t_capacity_lock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expires_at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DATETIME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锁过期时间，超时自动释放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普通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t_member_profile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phone_hash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CHAR(64)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UNIQUE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手机号哈希值，用于登录匹配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个人信息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t_member_profile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phone_masked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VARCHAR(20)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派生字段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脱敏展示手机号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个人信息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t_member_profile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preference_tags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JSON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可空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猫咪偏好、口味偏好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个人信息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t_privacy_consent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consent_type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VARCHAR(32)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枚举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推荐、营销、分析、跨境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合规字段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t_privacy_consent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policy_version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VARCHAR(20)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隐私政策版本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合规字段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t_payment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idempotency_key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VARCHAR(80)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UNIQUE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支付或押金写接口幂等键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运维数据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t_payment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channel_trade_no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VARCHAR(80)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UNIQUE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第三方支付流水号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交易数据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t_refund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reason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VARCHAR(200)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可空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退款原因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可能含个人信息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t_cat_profile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available_status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TINYINT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枚举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是否可互动/休息/治疗中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普通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t_health_check_in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temperature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DECIMAL(4,1)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可空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体温记录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门店照护数据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t_notification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target_member_id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FK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通知目标会员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个人信息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t_audit_log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actor_id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操作人 ID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审计数据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t_audit_log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VARCHAR(64)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关联请求链路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审计数据</w:t>
            </w:r>
          </w:p>
        </w:tc>
      </w:tr>
    </w:tbl>
    <w:p>
      <w:pPr>
        <w:spacing w:line="269" w:lineRule="auto" w:after="6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策略项</w:t>
            </w:r>
          </w:p>
        </w:tc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实现方式</w:t>
            </w:r>
          </w:p>
        </w:tc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适用表</w:t>
            </w:r>
          </w:p>
        </w:tc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验证方式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门店隔离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所有门店业务表强制携带 store_id，普通门店角色只能查询本 store_id 数据。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t_reservation / t_order / t_cat_profile / t_metric_snapshot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接口鉴权注入 storeId，SQL 审计检查缺失条件。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总部查询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总部运营角色通过 RBAC 授权跨 store_id 查询，只访问运营读模型或脱敏视图。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t_metric_snapshot / v_member_summary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权限用例覆盖越权访问 403。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未来演进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若出现特许经营或跨境独立部署需求，可由行级隔离演进为 schema/database 隔离。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全库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ADR 记录迁移策略与灰度步骤。</w:t>
            </w:r>
          </w:p>
        </w:tc>
      </w:tr>
    </w:tbl>
    <w:p>
      <w:pPr>
        <w:spacing w:line="269" w:lineRule="auto" w:after="60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索引与分区策略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对象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索引/分区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目的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风险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验证指标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t_reservation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idx_store_slot_status(store_id,time_slot_start,status)，按月分区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支撑预约列表和高峰查询。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跨月查询需走分区裁剪。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P95 &lt;= 350ms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t_capacity_lock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uk_table_slot(table_id,time_slot_start)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防止同桌同时间段重复锁定。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锁未释放导致容量假满。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TTL 清理延迟 &lt;= 60s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t_payment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uk_idempotency_key(idempotency_key)，idx_order(order_id)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防止重复支付并快速按订单追踪。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回调乱序。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重复提交只生成一条支付记录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t_health_check_in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idx_cat_created(cat_id,created_at)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快速查看猫咪健康趋势。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历史表增长。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月度归档任务成功率 100%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t_metric_snapshot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uk_store_metric_date(store_id,metric_date,metric_name)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运营看板读模型可覆盖重建。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读模型延迟。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T+1 指标完整率 &gt;= 99%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t_audit_log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idx_trace_created(trace_id,created_at)，按月分区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支持合规审计与链路追踪。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日志量大。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traceId 查询 &lt;= 2s</w:t>
            </w:r>
          </w:p>
        </w:tc>
      </w:tr>
    </w:tbl>
    <w:p>
      <w:pPr>
        <w:spacing w:line="269" w:lineRule="auto" w:after="60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数据生命周期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数据类别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保留期限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归档策略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删除/匿名化</w:t>
            </w:r>
          </w:p>
        </w:tc>
        <w:tc>
          <w:tcPr>
            <w:tcW w:type="dxa" w:w="1949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负责人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预约与订单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3 年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按月归档到冷存储，保留索引摘要。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超过期限匿名化 member_id 和 special_request。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预约服务负责人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支付与退款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按财务合规要求不少于 5 年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只保留必要交易号与金额，隐藏渠道扩展字段。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到期后脱敏渠道交易号。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财务/支付负责人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审计日志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不少于 180 天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不可变追加，按月分区压缩。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仅在法定期限后删除。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平台运维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健康打卡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2 年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按猫咪和月份归档。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离店猫咪归档后仅保留统计摘要。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门店运营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隐私授权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账号注销后 180 天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授权历史独立保留，便于追溯。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注销完成后匿名化 member_id。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会员服务负责人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营销偏好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授权撤回后立即停止使用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不进入运营宽表，只发布脱敏事件。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撤回后 24 小时内删除可识别标签。</w:t>
            </w:r>
          </w:p>
        </w:tc>
        <w:tc>
          <w:tcPr>
            <w:tcW w:type="dxa" w:w="1949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会员/运营负责人</w:t>
            </w:r>
          </w:p>
        </w:tc>
      </w:tr>
    </w:tbl>
    <w:p>
      <w:pPr>
        <w:spacing w:line="269" w:lineRule="auto" w:after="60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5  跨境数据合规标注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字段/数据</w:t>
            </w:r>
          </w:p>
        </w:tc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分类</w:t>
            </w:r>
          </w:p>
        </w:tc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是否跨境</w:t>
            </w:r>
          </w:p>
        </w:tc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处理原则</w:t>
            </w:r>
          </w:p>
        </w:tc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脱敏方式</w:t>
            </w:r>
          </w:p>
        </w:tc>
        <w:tc>
          <w:tcPr>
            <w:tcW w:type="dxa" w:w="1624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备注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phone_hash / phone_masked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个人信息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仅用于登录、通知和身份识别。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哈希存储，页面只显示掩码。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禁止导出明文。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nickname / birthday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个人信息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用于会员资料展示和权益计算。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运营视图隐藏生日。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用户可修改。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preference_tags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个人信息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条件允许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推荐服务只接收脱敏偏好标签。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移除 member_id，使用临时 subjectId。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[GDPR] 需显式授权。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special_request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敏感个人信息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仅用于门店履约，例如过敏、儿童同行。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列表页截断，详情页按角色查看。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访问写审计日志。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payment channel_trade_no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交易数据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用于支付对账和退款追踪。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非财务角色不可见。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幂等键不可复用。</w:t>
            </w:r>
          </w:p>
        </w:tc>
      </w:tr>
      <w:tr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audit_log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审计数据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只追加不修改，用于追责。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不对普通业务角色开放。</w:t>
            </w:r>
          </w:p>
        </w:tc>
        <w:tc>
          <w:tcPr>
            <w:tcW w:type="dxa" w:w="1624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保留 traceId。</w:t>
            </w:r>
          </w:p>
        </w:tc>
      </w:tr>
    </w:tbl>
    <w:p>
      <w:pPr>
        <w:spacing w:line="269" w:lineRule="auto" w:after="60"/>
      </w:pPr>
    </w:p>
    <w:p>
      <w:pPr>
        <w:spacing w:line="269" w:lineRule="auto" w:after="60" w:before="20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/>
          <w:color w:val="007046"/>
          <w:sz w:val="27"/>
        </w:rPr>
        <w:t>6  数据治理与一致性补充说明</w:t>
      </w: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 w:val="0"/>
          <w:sz w:val="21"/>
        </w:rPr>
        <w:t>本数据模型没有把所有表放进一个共享数据库视角中，而是按预约、会员、门店三个上下文组织。这样做是为了让每个上下文拥有自己的事实源：预约上下文负责预约状态和押金状态，会员上下文负责身份、积分和授权，门店上下文负责门店资源和猫咪档案。</w:t>
      </w: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 w:val="0"/>
          <w:sz w:val="21"/>
        </w:rPr>
        <w:t>跨上下文关联只保留必要的标识字段，不直接共享对方业务表。例如预约记录保存 member_id 和 store_id，但会员等级、门店营业规则等详情通过 API 或事件读取，避免数据模型反向破坏服务边界。</w:t>
      </w: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 w:val="0"/>
          <w:sz w:val="21"/>
        </w:rPr>
        <w:t>字段级说明补充了隐私和合规视角：手机号、授权记录、删除/导出请求、跨区域同步字段需要单独标注，并在 OpenAPI 响应中默认脱敏。这些约束与 ADR-0006、ADR-0007 保持一致。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9"/>
              </w:rPr>
              <w:t>治理主题</w:t>
            </w:r>
          </w:p>
        </w:tc>
        <w:tc>
          <w:tcPr>
            <w:tcW w:type="dxa" w:w="3249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9"/>
              </w:rPr>
              <w:t>说明</w:t>
            </w:r>
          </w:p>
        </w:tc>
        <w:tc>
          <w:tcPr>
            <w:tcW w:type="dxa" w:w="3249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9"/>
              </w:rPr>
              <w:t>落地检查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主键与外键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同一上下文内保留强约束，跨上下文只保留业务标识和事件引用。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检查 ER 图关系、字段命名和 OpenAPI 入参。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状态一致性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预约、押金、订单、通知不能出现互相矛盾的终态。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状态枚举、审计日志、支付回调幂等检查。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隐私合规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PII 字段最小化存储，跨境数据仅使用脱敏聚合特征。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[PII]/[GDPR] 标注、导出/删除请求流程。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查询性能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高频查询字段建立索引，运营分析走读模型而非直接扫描交易表。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索引清单、分页参数、读模型更新事件。</w:t>
            </w:r>
          </w:p>
        </w:tc>
      </w:tr>
    </w:tbl>
    <w:p>
      <w:pPr>
        <w:spacing w:line="269" w:lineRule="auto" w:after="6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