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701"/>
            <w:shd w:val="clear" w:color="auto" w:fill="EAF6EF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17"/>
              </w:rPr>
              <w:t>文件名</w:t>
            </w:r>
          </w:p>
        </w:tc>
        <w:tc>
          <w:tcPr>
            <w:tcW w:type="dxa" w:w="7370"/>
            <w:shd w:val="clear" w:color="auto" w:fill="EAF6E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0" w:line="240" w:lineRule="auto" w:before="0"/>
            </w:pPr>
            <w:r>
              <w:rPr>
                <w:rFonts w:ascii="Microsoft YaHei" w:hAnsi="Microsoft YaHei" w:eastAsia="Microsoft YaHei"/>
                <w:b w:val="0"/>
                <w:color w:val="2B2B2B"/>
                <w:sz w:val="17"/>
              </w:rPr>
              <w:t>0001-record-architecture-decisions.docx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17"/>
              </w:rPr>
              <w:t>所属包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0" w:line="240" w:lineRule="auto" w:before="0"/>
            </w:pPr>
            <w:r>
              <w:rPr>
                <w:rFonts w:ascii="Microsoft YaHei" w:hAnsi="Microsoft YaHei" w:eastAsia="Microsoft YaHei"/>
                <w:b w:val="0"/>
                <w:color w:val="2B2B2B"/>
                <w:sz w:val="17"/>
              </w:rPr>
              <w:t>D2-7_架构决策记录ADR集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17"/>
              </w:rPr>
              <w:t>用途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0" w:line="240" w:lineRule="auto" w:before="0"/>
            </w:pPr>
            <w:r>
              <w:rPr>
                <w:rFonts w:ascii="Microsoft YaHei" w:hAnsi="Microsoft YaHei" w:eastAsia="Microsoft YaHei"/>
                <w:b w:val="0"/>
                <w:color w:val="2B2B2B"/>
                <w:sz w:val="17"/>
              </w:rPr>
              <w:t>决策主题：为什么记录架构决策（确立 ADR 制度）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17"/>
              </w:rPr>
              <w:t>填写人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line="240" w:lineRule="auto" w:after="0" w:before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戴正宇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17"/>
              </w:rPr>
              <w:t>日期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line="240" w:lineRule="auto" w:after="0" w:before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2026-05-14</w:t>
            </w:r>
          </w:p>
        </w:tc>
      </w:tr>
    </w:tbl>
    <w:p>
      <w:pPr>
        <w:spacing w:line="240" w:lineRule="auto" w:after="0" w:before="0"/>
      </w:pPr>
    </w:p>
    <w:p>
      <w:pPr>
        <w:spacing w:line="240" w:lineRule="auto" w:after="0" w:before="0"/>
      </w:pPr>
      <w:r>
        <w:rPr>
          <w:rFonts w:ascii="Microsoft YaHei" w:hAnsi="Microsoft YaHei" w:eastAsia="Microsoft YaHei"/>
          <w:b w:val="0"/>
          <w:sz w:val="18"/>
        </w:rPr>
      </w:r>
      <w:r>
        <w:rPr>
          <w:rFonts w:ascii="Microsoft YaHei" w:hAnsi="Microsoft YaHei" w:eastAsia="Microsoft YaHei"/>
          <w:b w:val="0"/>
          <w:sz w:val="18"/>
        </w:rPr>
        <w:t>ADR 正文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vAlign w:val="center"/>
            <w:shd w:fill="EAF6EF"/>
          </w:tcPr>
          <w:p>
            <w:pPr>
              <w:spacing w:line="240" w:lineRule="auto"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096841"/>
                <w:sz w:val="17"/>
              </w:rPr>
              <w:t>字段</w:t>
            </w:r>
          </w:p>
        </w:tc>
        <w:tc>
          <w:tcPr>
            <w:tcW w:type="dxa" w:w="4873"/>
            <w:vAlign w:val="center"/>
            <w:shd w:fill="EAF6EF"/>
          </w:tcPr>
          <w:p>
            <w:pPr>
              <w:spacing w:line="240" w:lineRule="auto"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096841"/>
                <w:sz w:val="17"/>
              </w:rPr>
              <w:t>内容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Title</w:t>
            </w:r>
          </w:p>
        </w:tc>
        <w:tc>
          <w:tcPr>
            <w:tcW w:type="dxa" w:w="4873"/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0001 确立 ADR 制度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Status / Date / Owner</w:t>
            </w:r>
          </w:p>
        </w:tc>
        <w:tc>
          <w:tcPr>
            <w:tcW w:type="dxa" w:w="4873"/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Accepted；2026-05-14；架构负责人 / 实验二小组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Context</w:t>
            </w:r>
          </w:p>
        </w:tc>
        <w:tc>
          <w:tcPr>
            <w:tcW w:type="dxa" w:w="4873"/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NekoCafé 架构涉及服务拆分、数据库、消息、API、鉴权、跨境数据等长期影响问题。若只在报告中写结论，后续实验、答辩和迭代无法追溯“为什么这样设计”。课程交付还要求 C4、OpenAPI、数据字典和 ATAM 结论之间保持一致。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Decision</w:t>
            </w:r>
          </w:p>
        </w:tc>
        <w:tc>
          <w:tcPr>
            <w:tcW w:type="dxa" w:w="4873"/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采用 MADR 风格记录架构决策。所有影响服务边界、数据边界、接口契约、质量属性或合规要求的决策必须新增 ADR；ADR 按 0001 起递增编号，不重排历史编号；状态只允许 Proposed、Accepted、Deprecated、Superseded。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Consequences</w:t>
            </w:r>
          </w:p>
        </w:tc>
        <w:tc>
          <w:tcPr>
            <w:tcW w:type="dxa" w:w="4873"/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正面：决策理由可追溯，便于评审、答辩和后续实验复用。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br/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负面：需要额外维护，ADR 与 C4/OpenAPI 不一致时必须同步修订。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br/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中性：ADR 不替代设计文档，只记录关键取舍和约束。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Alternatives Considered</w:t>
            </w:r>
          </w:p>
        </w:tc>
        <w:tc>
          <w:tcPr>
            <w:tcW w:type="dxa" w:w="4873"/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只在实验报告中描述：放弃，因为结论分散且难追踪。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br/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使用大型架构章程：放弃，因为课程规模下维护成本过高。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br/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代码注释记录决策：放弃，因为业务与架构取舍不应埋在实现细节中。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Implementation Notes</w:t>
            </w:r>
          </w:p>
        </w:tc>
        <w:tc>
          <w:tcPr>
            <w:tcW w:type="dxa" w:w="4873"/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每个里程碑结束进行 ADR 回顾；变更 C4、OpenAPI、数据字典或路线图时检查是否需要新增或更新 ADR；被替代的 ADR 保留原文并标记 Superseded。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References</w:t>
            </w:r>
          </w:p>
        </w:tc>
        <w:tc>
          <w:tcPr>
            <w:tcW w:type="dxa" w:w="4873"/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D2-3 ATAM 报告；D2-4 C4 图集；D2-8 架构演进路线图。</w:t>
            </w:r>
          </w:p>
        </w:tc>
      </w:tr>
    </w:tbl>
    <w:p>
      <w:pPr>
        <w:spacing w:line="240" w:lineRule="auto" w:after="0" w:before="0"/>
      </w:pPr>
      <w:r>
        <w:rPr>
          <w:rFonts w:ascii="Microsoft YaHei" w:hAnsi="Microsoft YaHei" w:eastAsia="Microsoft YaHei"/>
          <w:b w:val="0"/>
          <w:sz w:val="18"/>
        </w:rPr>
      </w:r>
      <w:r>
        <w:rPr>
          <w:rFonts w:ascii="Microsoft YaHei" w:hAnsi="Microsoft YaHei" w:eastAsia="Microsoft YaHei"/>
          <w:b/>
          <w:color w:val="007046"/>
          <w:sz w:val="18"/>
        </w:rPr>
        <w:t>补充评审说明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EAF6EF"/>
          </w:tcPr>
          <w:p>
            <w:pPr>
              <w:spacing w:line="240" w:lineRule="auto" w:after="0" w:before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007046"/>
                <w:sz w:val="17"/>
              </w:rPr>
              <w:t>补充项</w:t>
            </w:r>
          </w:p>
        </w:tc>
        <w:tc>
          <w:tcPr>
            <w:tcW w:type="dxa" w:w="4873"/>
            <w:vAlign w:val="center"/>
            <w:shd w:fill="EAF6EF"/>
          </w:tcPr>
          <w:p>
            <w:pPr>
              <w:spacing w:line="240" w:lineRule="auto" w:after="0" w:before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007046"/>
                <w:sz w:val="17"/>
              </w:rPr>
              <w:t>说明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line="240" w:lineRule="auto" w:after="0" w:before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Rationale</w:t>
            </w:r>
          </w:p>
        </w:tc>
        <w:tc>
          <w:tcPr>
            <w:tcW w:type="dxa" w:w="4873"/>
            <w:vAlign w:val="center"/>
          </w:tcPr>
          <w:p>
            <w:pPr>
              <w:spacing w:line="240" w:lineRule="auto" w:after="0" w:before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本实验的架构产物较多，如果缺少 ADR，C4 图、OpenAPI、数据字典和路线图之间容易只保留结论而丢失取舍过程。ADR 制度把“为什么这样做”固定下来，便于后续实验复用和答辩说明。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line="240" w:lineRule="auto" w:after="0" w:before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Quality Attribute Link</w:t>
            </w:r>
          </w:p>
        </w:tc>
        <w:tc>
          <w:tcPr>
            <w:tcW w:type="dxa" w:w="4873"/>
            <w:vAlign w:val="center"/>
          </w:tcPr>
          <w:p>
            <w:pPr>
              <w:spacing w:line="240" w:lineRule="auto" w:after="0" w:before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可维护性与可追溯性：每个影响服务边界、数据边界、接口契约和合规策略的决定都必须能追溯到质量属性或业务场景。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line="240" w:lineRule="auto" w:after="0" w:before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Review Trigger</w:t>
            </w:r>
          </w:p>
        </w:tc>
        <w:tc>
          <w:tcPr>
            <w:tcW w:type="dxa" w:w="4873"/>
            <w:vAlign w:val="center"/>
          </w:tcPr>
          <w:p>
            <w:pPr>
              <w:spacing w:line="240" w:lineRule="auto" w:after="0" w:before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当服务边界、接口风格、数据库选型、鉴权模型或跨境数据策略发生变化时，必须新增或更新 ADR，并在 D2-8 里记录影响。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戴正宇</dc:creator>
  <cp:keywords/>
  <dc:description>generated by python-docx</dc:description>
  <cp:lastModifiedBy>戴正宇</cp:lastModifiedBy>
  <cp:revision>1</cp:revision>
  <dcterms:created xsi:type="dcterms:W3CDTF">2013-12-23T23:15:00Z</dcterms:created>
  <dcterms:modified xsi:type="dcterms:W3CDTF">2013-12-23T23:15:00Z</dcterms:modified>
  <cp:category/>
</cp:coreProperties>
</file>