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文件名</w:t>
            </w:r>
          </w:p>
        </w:tc>
        <w:tc>
          <w:tcPr>
            <w:tcW w:type="dxa" w:w="7370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7"/>
              </w:rPr>
              <w:t>0002-microservice-granularity.docx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7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0" w:line="240" w:lineRule="auto" w:before="0"/>
            </w:pPr>
            <w:r>
              <w:rPr>
                <w:rFonts w:ascii="Microsoft YaHei" w:hAnsi="Microsoft YaHei" w:eastAsia="Microsoft YaHei"/>
                <w:b w:val="0"/>
                <w:color w:val="2B2B2B"/>
                <w:sz w:val="17"/>
              </w:rPr>
              <w:t>决策主题：微服务粒度的判定准则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0" w:line="240" w:lineRule="auto" w:before="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17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2026-05-14</w:t>
            </w:r>
          </w:p>
        </w:tc>
      </w:tr>
    </w:tbl>
    <w:p>
      <w:pPr>
        <w:spacing w:line="240" w:lineRule="auto" w:after="0" w:before="0"/>
      </w:pPr>
    </w:p>
    <w:p>
      <w:pPr>
        <w:spacing w:line="240" w:lineRule="auto" w:after="0" w:before="0"/>
      </w:pP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 w:val="0"/>
          <w:sz w:val="18"/>
        </w:rPr>
        <w:t>ADR 正文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7"/>
              </w:rPr>
              <w:t>字段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7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Title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0002 按限界上下文确定微服务粒度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Status / Date / Owner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Accepted；2026-05-14；预约/会员服务负责人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Context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平台需要支撑多门店预约高峰、新门店零停机上线、跨门店运营分析和会员隐私治理。过粗的模块会让预约、支付、会员和运营看板互相牵制；过细拆分会把课程原型拖入过高的运维复杂度。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Decision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以 DDD 限界上下文作为初始服务粒度，拆分会员、门店、预约、订单支付、猫咪档案、推荐、通知、运营分析 8 个服务。预约与订单支付是核心写服务；运营分析通过事件流构建读模型；推荐和通知作为支撑服务，可低频合并部署但保留代码边界。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Consequences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正面：预约热点可独立扩容，服务职责与 D2-2/D2-4 一致。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负面：跨服务调用、分布式一致性和部署治理复杂度提升。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中性：早期可按业务优先级分阶段拆分，不要求一开始全部物理独立。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Alternatives Considered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模块化单体：短期简单，但无法独立扩展预约高峰。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按数据库表拆服务：会形成贫血服务和跨服务事务。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br/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按前端页面拆服务：边界随 UI 变化，不利于长期演进。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Implementation Notes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M1 先落地预约、会员、门店、支付、通知；M2 引入运营读模型和推荐；M3 再做弹性与灰度治理；服务拆分必须同步更新 OpenAPI 和 C4 L2/L3。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References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  <w:jc w:val="left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D2-2 上下文映射图；D2-4 C4 容器图；ADR-0004。</w:t>
            </w:r>
          </w:p>
        </w:tc>
      </w:tr>
    </w:tbl>
    <w:p>
      <w:pPr>
        <w:spacing w:line="240" w:lineRule="auto" w:after="0" w:before="0"/>
      </w:pPr>
      <w:r>
        <w:rPr>
          <w:rFonts w:ascii="Microsoft YaHei" w:hAnsi="Microsoft YaHei" w:eastAsia="Microsoft YaHei"/>
          <w:b w:val="0"/>
          <w:sz w:val="18"/>
        </w:rPr>
      </w:r>
      <w:r>
        <w:rPr>
          <w:rFonts w:ascii="Microsoft YaHei" w:hAnsi="Microsoft YaHei" w:eastAsia="Microsoft YaHei"/>
          <w:b/>
          <w:color w:val="007046"/>
          <w:sz w:val="18"/>
        </w:rPr>
        <w:t>补充评审说明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7"/>
              </w:rPr>
              <w:t>补充项</w:t>
            </w:r>
          </w:p>
        </w:tc>
        <w:tc>
          <w:tcPr>
            <w:tcW w:type="dxa" w:w="4873"/>
            <w:vAlign w:val="center"/>
            <w:shd w:fill="EAF6EF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7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Rationale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服务粒度以限界上下文为主，而不是按数据库表或页面菜单拆分。这样可以让预约、会员、门店、支付和通知分别拥有清晰职责，同时避免课程项目过度拆分。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Quality Attribute Link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可维护性、性能与可用性：预约服务独立扩容，会员隐私集中治理，支付和通知失败可以隔离补偿。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Review Trigger</w:t>
            </w:r>
          </w:p>
        </w:tc>
        <w:tc>
          <w:tcPr>
            <w:tcW w:type="dxa" w:w="4873"/>
            <w:vAlign w:val="center"/>
          </w:tcPr>
          <w:p>
            <w:pPr>
              <w:spacing w:line="240" w:lineRule="auto" w:after="0" w:before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若某服务持续出现跨上下文调用、数据表共享或团队职责不清，应回到事件风暴结果重新评估边界。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