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shd w:val="clear" w:color="auto" w:fill="EAF6EF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文件名</w:t>
            </w:r>
          </w:p>
        </w:tc>
        <w:tc>
          <w:tcPr>
            <w:tcW w:type="dxa" w:w="7370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7"/>
              </w:rPr>
              <w:t>0004-message-broker-selection.docx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7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7"/>
              </w:rPr>
              <w:t>决策主题：消息中间件的选型（Kafka / RabbitMQ / RocketMQ）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2026-05-14</w:t>
            </w:r>
          </w:p>
        </w:tc>
      </w:tr>
    </w:tbl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  <w:t>ADR 正文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7"/>
              </w:rPr>
              <w:t>字段</w:t>
            </w:r>
          </w:p>
        </w:tc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7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Title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0004 采用 Kafka 风格事件流，课程实现可用轻量队列替代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Status / Date / Owner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Accepted；2026-05-14；平台集成负责人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Context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预约、支付、会员授权、猫咪健康和活动投放事件需要驱动通知、运营看板和推荐更新。系统需要事件可重放、顺序处理、失败补偿和可观测链路；课程实现又不能被过重的中间件部署拖慢。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Decision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目标架构采用 Kafka 风格事件流，围绕 ReservationConfirmed、PaymentCaptured、MemberConsentChanged、HealthCheckAbnormal 等领域事件集成。课程实现阶段可以用轻量队列或内存消息模拟，但接口语义、事件命名、Outbox 和重试策略按事件流目标设计。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Consequences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正面：削峰解耦、读模型可重建、失败可补偿。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负面：消息顺序、幂等消费和积压监控需要治理。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中性：物理中间件可后置，事件契约必须先稳定。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Alternatives Considered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同步 REST 串联所有动作：简单但耦合强，高峰风险高。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数据库触发器同步：隐藏业务语义且难测试。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定时批处理：延迟高，无法满足通知和看板及时性。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Implementation Notes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M1 先实现 Outbox 表和事件命名；M2 引入轻量队列与重放；M3 监控 lag、死信队列和消费幂等；事件字段进入 OpenAPI/数据字典说明。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References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D2-2 领域事件列表；D2-3 ATAM；ADR-0002。</w:t>
            </w:r>
          </w:p>
        </w:tc>
      </w:tr>
    </w:tbl>
    <w:p>
      <w:pPr>
        <w:spacing w:line="240" w:lineRule="auto" w:after="0" w:before="0"/>
      </w:pP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007046"/>
          <w:sz w:val="18"/>
        </w:rPr>
        <w:t>补充评审说明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7"/>
              </w:rPr>
              <w:t>补充项</w:t>
            </w:r>
          </w:p>
        </w:tc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7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Rationale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支付、通知、运营看板和推荐更新都不应阻塞预约提交。事件流能够保留事实发生顺序，并支持失败重试、补偿和运营分析。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Quality Attribute Link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可用性与可观测性：异步队列降低尖峰压力，Outbox 和死信记录可用于排障。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Review Trigger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当通知延迟、事件堆积或重复消费影响用户体验时，需要复查队列容量、消费者幂等和告警阈值。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