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701"/>
            <w:shd w:val="clear" w:color="auto" w:fill="EAF6EF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17"/>
              </w:rPr>
              <w:t>文件名</w:t>
            </w:r>
          </w:p>
        </w:tc>
        <w:tc>
          <w:tcPr>
            <w:tcW w:type="dxa" w:w="7370"/>
            <w:shd w:val="clear" w:color="auto" w:fill="EAF6E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color w:val="2B2B2B"/>
                <w:sz w:val="17"/>
              </w:rPr>
              <w:t>0006-authn-and-authz.docx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17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color w:val="2B2B2B"/>
                <w:sz w:val="17"/>
              </w:rPr>
              <w:t>D2-7_架构决策记录ADR集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17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color w:val="2B2B2B"/>
                <w:sz w:val="17"/>
              </w:rPr>
              <w:t>决策主题：鉴权与授权方案（OAuth2 / OIDC / RBAC / ABAC）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17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戴正宇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17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2026-05-14</w:t>
            </w:r>
          </w:p>
        </w:tc>
      </w:tr>
    </w:tbl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  <w:t>ADR 正文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EAF6EF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7"/>
              </w:rPr>
              <w:t>字段</w:t>
            </w:r>
          </w:p>
        </w:tc>
        <w:tc>
          <w:tcPr>
            <w:tcW w:type="dxa" w:w="4873"/>
            <w:vAlign w:val="center"/>
            <w:shd w:fill="EAF6EF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7"/>
              </w:rPr>
              <w:t>内容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Title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0006 采用 OIDC 登录、JWT 访问令牌和 RBAC+ABAC 授权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Status / Date / Owner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Accepted；2026-05-14；安全与会员服务负责人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Context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系统存在顾客、店员、猫咪管家、店长、总部运营等角色，同时存在门店范围、总部范围、隐私授权和敏感字段访问限制。只靠角色名无法表达 store_id、consent、数据分类等约束。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Decision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认证采用 OIDC 登录并签发 JWT 访问令牌；授权采用 RBAC + ABAC。RBAC 判断角色是否可进入功能，ABAC 根据 store_id、member_id、consent_type、data_classification、purpose 等属性判断是否可访问具体数据。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Consequences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正面：权限表达能力强，符合门店隔离和隐私治理要求。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负面：策略测试和审计日志成本提高。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中性：课程原型可用简化策略表模拟，但接口字段和日志必须保留演进空间。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Alternatives Considered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仅 Session + 角色表：无法表达细粒度门店与隐私授权。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每个服务各自实现权限：易产生策略不一致。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完全依赖前端隐藏按钮：不能作为安全控制。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Implementation Notes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D2-5 API 统一 bearerAuth；D2-6 标注敏感字段；访问 special_request、phone_hash、privacy_consent 必须记录 audit_log；权限用例覆盖越权 403。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References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D2-5 OpenAPI；D2-6 数据字典；QAS-06。</w:t>
            </w:r>
          </w:p>
        </w:tc>
      </w:tr>
    </w:tbl>
    <w:p>
      <w:pPr>
        <w:spacing w:line="240" w:lineRule="auto" w:after="0" w:before="0"/>
      </w:pP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/>
          <w:color w:val="007046"/>
          <w:sz w:val="18"/>
        </w:rPr>
        <w:t>补充评审说明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6EF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7046"/>
                <w:sz w:val="17"/>
              </w:rPr>
              <w:t>补充项</w:t>
            </w:r>
          </w:p>
        </w:tc>
        <w:tc>
          <w:tcPr>
            <w:tcW w:type="dxa" w:w="4873"/>
            <w:vAlign w:val="center"/>
            <w:shd w:fill="EAF6EF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7046"/>
                <w:sz w:val="17"/>
              </w:rPr>
              <w:t>说明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Rationale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平台同时包含顾客、店员、店长和运营后台，不同角色对会员资料、预约、报表和隐私授权的访问边界不同，因此需要认证与授权分离。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Quality Attribute Link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安全性与合规性：JWT 负责身份声明，RBAC 控制角色范围，ABAC 处理门店归属、数据敏感级别和授权状态。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Review Trigger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当新增跨门店运营、外部 AI 推荐或数据导出能力时，必须重新检查授权条件和脱敏策略。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