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D2-7_架构决策记录ADR集  README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line="269" w:lineRule="auto"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D2-7_架构决策记录ADR集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  <w:br w:type="page"/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096841"/>
          <w:sz w:val="36"/>
        </w:rPr>
        <w:t>本目录用途</w:t>
      </w:r>
    </w:p>
    <w:p>
      <w:pPr>
        <w:spacing w:after="60" w:before="0" w:line="269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存放本项目所有 ADR（Architecture Decision Records），编号从 0001 起递增，已废弃的 ADR 通过 Status: Superseded by 0XXX 标记。</w:t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096841"/>
          <w:sz w:val="36"/>
        </w:rPr>
        <w:t>编号约定</w:t>
      </w:r>
    </w:p>
    <w:p>
      <w:pPr>
        <w:spacing w:after="60" w:line="269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0001  确立 ADR 制度（必备）</w:t>
      </w:r>
    </w:p>
    <w:p>
      <w:pPr>
        <w:spacing w:after="60" w:line="269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0002 起按时间顺序编号；不重排已有编号</w:t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096841"/>
          <w:sz w:val="36"/>
        </w:rPr>
        <w:t>MADR 模板字段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文档说明</w:t>
            </w:r>
          </w:p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本目录用于集中管理实验二所有关键架构决策。ADR 与 C4、OpenAPI、数据字典、路线图互相引用，用于说明架构结果背后的原因、取舍和后续复盘触发条件。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标题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状态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影响范围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关联产出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0001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确立 ADR 制度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架构治理、编号规则、状态流转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D2-3 / D2-8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0002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按限界上下文确定微服务粒度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服务边界、部署单元、团队职责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D2-2 / D2-4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0003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核心交易采用 PostgreSQL，读模型按需扩展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数据库、索引、读模型、归档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D2-6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0004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采用 Kafka 风格事件流，课程实现可用轻量队列替代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异步通知、运营看板、推荐更新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D2-2 / D2-8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0005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外部与服务间主接口采用 REST，聚合查询由读模型承担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API 风格、OpenAPI、错误响应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D2-5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0006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采用 OIDC、JWT 和 RBAC+ABAC 授权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身份认证、门店隔离、敏感字段访问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D2-5 / D2-6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0007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默认数据本地化，跨境仅传脱敏聚合特征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隐私授权、推荐、跨境合规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D2-6 / D2-8</w:t>
            </w:r>
          </w:p>
        </w:tc>
      </w:tr>
    </w:tbl>
    <w:p>
      <w:pPr>
        <w:spacing w:line="269" w:lineRule="auto"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DF4E3"/>
            <w:tcBorders>
              <w:top w:val="single" w:sz="8" w:space="0" w:color="E8A52B"/>
              <w:left w:val="single" w:sz="8" w:space="0" w:color="E8A52B"/>
              <w:bottom w:val="single" w:sz="8" w:space="0" w:color="E8A52B"/>
              <w:right w:val="single" w:sz="8" w:space="0" w:color="E8A52B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写作要点：ADR 保留决策背景和取舍，不替代 C4、OpenAPI 或数据字典；读者应能通过 Status 与 Decision 快速判断当前该怎么做。</w:t>
            </w:r>
          </w:p>
          <w:p>
            <w:pPr>
              <w:spacing w:line="259" w:lineRule="auto" w:after="20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图2-6 ADR 与架构决策闭环</w:t>
            </w:r>
          </w:p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5852160" cy="3474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 w:before="20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/>
          <w:color w:val="007046"/>
          <w:sz w:val="27"/>
        </w:rPr>
        <w:t>ADR 使用与维护补充说明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ADR 集的重点不是把设计文档再抄一遍，而是记录那些“如果未来改变会影响多个产物”的决定。例如服务粒度会影响 C4 图和 OpenAPI 路径，数据库选型会影响 ER 图和数据字典，鉴权方案会影响接口安全和隐私字段。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每篇 ADR 均采用 Accepted 状态，表示当前实验二选择了该方案。若后续实验三或实现阶段发现方案不可行，不应删除旧 ADR，而应新增 Superseded ADR 并写明替代原因。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维护时需要检查三类一致性：Decision 是否与图表一致，Consequences 是否覆盖正负影响，Implementation Notes 是否能转化为后续实验任务。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检查项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说明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不满足时的处理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编号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0001 起递增，不因删除或替换而重排。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保留旧编号，新增 Superseded 记录。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状态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Proposed、Accepted、Deprecated、Superseded 之一。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补充状态变化原因和关联 ADR。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引用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至少关联一个 C4、OpenAPI、数据字典、ATAM 或路线图产物。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在 References 或 README 索引中补充链接关系。</w:t>
            </w:r>
          </w:p>
        </w:tc>
      </w:tr>
    </w:tbl>
    <w:p>
      <w:pPr>
        <w:spacing w:line="269" w:lineRule="auto" w:after="6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