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架构演进路线图（12 个月）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line="269" w:lineRule="auto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D2-8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架构演进路线图（12 个月）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  <w:br w:type="page"/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60" w:before="0" w:line="269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给 CTO 一份"我们如何从今天走到一年后"的可执行路线图。每个里程碑都要有"成功的样子（Definition of Success）"。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EAF6EF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文档说明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本路线图已按实验二架构设计结果完成填写，覆盖现状评估、目标态、四阶段里程碑、风险登记与回滚策略；里程碑内容与 D2-2、D2-4、D2-5、D2-6、D2-7 保持引用一致。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1  现状评估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维度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现状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主要问题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改进方向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业务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已完成需求基线和架构设计；门店预约、会员、猫咪档案、支付、通知尚未统一上线。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跨门店预约和运营分析缺少统一入口。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M1 建立核心服务闭环，M2 建立运营读模型。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技术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已有 C4、OpenAPI、数据字典和 ADR 初稿。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容量锁、幂等、事件流和可观测还停留在设计层。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以预约服务为主线落地核心质量场景。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门店和会员数据口径分散，敏感字段需要统一标注。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报表、推荐、审计难以复用同一事实源。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交易库 + 事件 + 读模型，D2-6 持续维护。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团队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课程小组角色明确，但长期治理流程尚不稳定。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接口变更、ADR 回顾、图文一致性容易遗漏。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每个里程碑设置契约检查与 ADR 复盘。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风险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支付回调、预约状态、隐私授权、跨区同步是高风险点。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任一环节失控都会影响 SLA 或合规。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风险登记册跟踪到负责人和缓解动作。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2  目标态描述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目标维度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12 个月目标态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可量化验收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架构形态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微服务 + 事件驱动 + CQRS 读模型；低频服务可合并部署但保留代码边界。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核心服务边界与 D2-4 C4、D2-5 OpenAPI 一致。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性能与可用性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预约提交 P95 &lt;= 350ms；预约核心链路 SLA &gt;= 99.9%。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压测 5000 QPS 高峰，容量锁冲突可控。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业务演进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新增门店配置零停机；运营看板可跨门店分析预约、收入、会员和活动效果。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门店灰度上线成功率 100%，关键指标 T+1 完整。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可观测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traceId 覆盖顾客端、预约、支付、通知和读模型。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关键链路 traceId 覆盖 &gt;= 95%，告警 &lt;= 5 分钟。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合规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个人信息删除、导出、授权撤回形成闭环。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删除请求 15 个工作日内完成；跨境数据默认不传明文。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3  阶段规划</w:t>
      </w: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里程碑 M1（第 1-3 月）：核心服务上线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项目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说明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目标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完成顾客预约与到店消费的最小可用闭环，先把核心价值跑通。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范围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会员服务、门店服务、预约服务、订单支付、通知服务；容量锁、幂等键、统一错误响应。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关键交付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D2-5 OpenAPI 可联调；预约状态机与支付回调一致；通知事件可追踪；C4 L2/L3 与实现一致。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成功定义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顾客可完成浏览、预约、押金支付、取消、签到；预约冲突返回 409；核心日志含 traceId。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依赖/风险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依赖支付适配器和门店数据清洗；风险是支付回调乱序、容量锁未释放。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里程碑 M2（第 4-6 月）：AI 推荐接入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项目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说明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目标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从同步交易闭环演进到事件驱动读模型，支撑运营看板和基础推荐。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范围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Outbox、消息队列、运营分析读模型、会员偏好、猫咪档案事件、推荐结果解释。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关键交付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ReservationConfirmed、PaymentCaptured、MemberConsentChanged 等事件可重放；看板读模型可重建。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成功定义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运营看板 T+1 指标完整率 &gt;= 99%；推荐结果展示理由；死信和积压可监控。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依赖/风险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依赖事件契约稳定；风险是消息积压、重复消费和读模型延迟。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3.3  里程碑 M3（第 7-9 月）：可观测、弹性治理与灰度发布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项目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说明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目标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提升可观测、弹性和发布治理能力，让服务可扩容、可灰度、可回滚。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范围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统一 traceId、指标告警、灰度发布、服务限流、预约服务水平扩容、接口兼容策略。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关键交付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关键接口仪表盘；灰度开关；OpenAPI 兼容检查；ADR 回顾机制。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成功定义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traceId 覆盖 &gt;= 95%；关键告警 &lt;= 5 分钟；预约服务扩容后 P95 不退化。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依赖/风险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依赖监控指标和日志规范；风险是调用链过长、灰度策略误伤正常门店。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3.4  里程碑 M4（第 10-12 月）：跨境、多租户与课程复盘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项目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说明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目标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形成多区域容灾、合规数据治理和高级运营分析能力。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范围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单 AZ 故障切换、隐私删除/导出、跨境授权、数据归档、活动 ROI 与会员分群分析。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关键交付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容灾演练报告；数据生命周期任务；隐私请求工作流；高级分析读模型。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成功定义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单 AZ 故障 RTO &lt;= 5 分钟；删除请求 &lt;= 15 工作日；跨境不传明文个人信息。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依赖/风险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依赖 D2-6 数据标注和 ADR-0007；风险是跨区同步延迟和合规规则变化。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4  风险登记册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ID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风险描述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影响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可能性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应对策略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负责人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R-01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支付回调与预约状态不一致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高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支付写接口幂等；回调按状态机校验；异常进入补偿队列。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支付负责人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R-02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预约高峰容量锁竞争导致超卖或假满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高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tableId + timeSlot 唯一锁；TTL 清理；冲突返回 409。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预约负责人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R-03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消息积压造成通知和运营看板延迟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监控 lag；死信队列；消费者幂等；读模型可重建。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平台负责人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R-04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隐私授权撤回后仍被推荐或营销使用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高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低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ConsentChanged 事件驱动清理；推荐输入仅取授权数据。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会员负责人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R-05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服务拆分过快导致运维负担超过课程团队能力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低频服务合并部署但保留代码边界；按 M1-M4 分阶段拆分。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架构负责人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R-06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跨区域同步或外部 AI 调用触发合规风险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高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低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默认本地化；跨境只传脱敏聚合特征；M4 前不开放明文跨境。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合规负责人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R-07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C4、OpenAPI、数据字典与实现漂移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每个里程碑做 ADR 回顾和契约检查；变更必须更新对应文档。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文档负责人</w:t>
            </w:r>
          </w:p>
        </w:tc>
      </w:tr>
    </w:tbl>
    <w:p>
      <w:pPr>
        <w:spacing w:line="269" w:lineRule="auto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治理机制：每个里程碑结束进行 ADR 回顾、C4 图更新、OpenAPI 契约检查和数据字典复核；所有跨服务接口必须有负责人、错误码、traceId、兼容策略和回滚方案。</w:t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图2-7 架构演进与部署目标视图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6035040" cy="32857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3285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096841"/>
          <w:sz w:val="36"/>
        </w:rPr>
        <w:t>5  退出与回滚策略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阶段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退出条件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回滚策略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保留数据/接口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M1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支付、预约、通知任一核心链路连续失败或无法在 1 小时内恢复。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切回门店原有排号系统；新系统保留只读同步和问题排查。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保留预约草稿、支付流水、traceId。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M2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消息队列积压导致看板或通知不可接受延迟。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暂停异步消费，读模型回退到交易库只读查询；保留 Outbox 待重放。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保留事件日志和死信数据。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M3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灰度发布造成核心指标下降或错误率超过阈值。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关闭新版本流量；回退服务镜像；数据库字段保持向后兼容。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保留灰度指标和 OpenAPI 版本。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M4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跨区同步异常或隐私流程不满足合规要求。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切回单区域主写；暂停跨境/跨区同步；执行人工合规复核。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保留审计日志、授权记录、删除请求状态。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 w:before="20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/>
          <w:color w:val="007046"/>
          <w:sz w:val="27"/>
        </w:rPr>
        <w:t>6  路线图执行节奏与复盘机制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路线图采用“先闭环、再异步、再治理、最后复盘扩展”的节奏。M1 先确保顾客能够完成预约、支付、取消、签到等核心闭环；M2 引入事件和读模型，降低运营分析对交易库的压力；M3 强化可观测和灰度；M4 再处理跨区域、隐私请求和高级运营分析。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每个里程碑都必须同时交付业务能力和工程证据。业务能力包括可演示流程、接口样例和页面/服务联调结果；工程证据包括 ADR 回顾、OpenAPI 契约检查、数据字典更新、日志/指标截图和风险登记更新。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路线图不是固定不变的排期表，而是架构治理工具。当质量属性指标、业务优先级或合规要求发生变化时，应通过 ADR 记录原因，并更新 D2-8 的风险、回滚策略和后续里程碑。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复盘节点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检查问题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输出物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M1 结束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核心预约链路是否能稳定演示；容量冲突是否有明确响应。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接口联调记录、409 冲突样例、核心状态机说明。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M2 结束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事件是否可重放；运营读模型是否与交易事实一致。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事件清单、读模型更新规则、死信/重试记录。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M3 结束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traceId 是否覆盖关键链路；灰度发布是否可回滚。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链路追踪样例、告警阈值、回滚演练记录。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M4 结束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跨区域与隐私流程是否满足最小化和可审计要求。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合规检查表、数据生命周期任务、ADR 复盘。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