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文件名</w:t>
            </w:r>
          </w:p>
        </w:tc>
        <w:tc>
          <w:tcPr>
            <w:tcW w:type="dxa" w:w="7370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0004-message-broker-selection.docx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决策主题：消息中间件的选型（Kafka / RabbitMQ / RocketMQ）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sz w:val="21"/>
        </w:rPr>
      </w:r>
      <w:r>
        <w:rPr>
          <w:rFonts w:ascii="Microsoft YaHei" w:hAnsi="Microsoft YaHei" w:eastAsia="Microsoft YaHei"/>
          <w:sz w:val="21"/>
        </w:rPr>
        <w:t>ADR 正文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字段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内容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Title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0004 采用 Kafka 风格事件流，课程实现可用轻量队列替代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Status / Date / Owner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Accepted；2026-05-14；平台集成负责人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Context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预约、支付、会员授权、猫咪健康和活动投放事件需要驱动通知、运营看板和推荐更新。系统需要事件可重放、顺序处理、失败补偿和可观测链路；课程实现又不能被过重的中间件部署拖慢。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Decision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目标架构采用 Kafka 风格事件流，围绕 ReservationConfirmed、PaymentCaptured、MemberConsentChanged、HealthCheckAbnormal 等领域事件集成。课程实现阶段可以用轻量队列或内存消息模拟，但接口语义、事件命名、Outbox 和重试策略按事件流目标设计。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Consequences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正面：削峰解耦、读模型可重建、失败可补偿。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负面：消息顺序、幂等消费和积压监控需要治理。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中性：物理中间件可后置，事件契约必须先稳定。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Alternatives Considered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同步 REST 串联所有动作：简单但耦合强，高峰风险高。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数据库触发器同步：隐藏业务语义且难测试。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定时批处理：延迟高，无法满足通知和看板及时性。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Implementation Notes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M1 先实现 Outbox 表和事件命名；M2 引入轻量队列与重放；M3 监控 lag、死信队列和消费幂等；事件字段进入 OpenAPI/数据字典说明。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References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D2-2 领域事件列表；D2-3 ATAM；ADR-0002。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