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0005-api-style-rest-vs-graphql.docx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决策主题：REST 与 GraphQL 的取舍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2026-05-14</w:t>
            </w:r>
          </w:p>
        </w:tc>
      </w:tr>
    </w:tbl>
    <w:p>
      <w:pPr>
        <w:spacing w:line="269" w:lineRule="auto" w:after="60"/>
      </w:pPr>
    </w:p>
    <w:p>
      <w:pPr>
        <w:spacing w:line="269" w:lineRule="auto" w:after="6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ADR 正文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Title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0005 外部与服务间主接口采用 REST，聚合查询由读模型承担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Status / Date / Owner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Accepted；2026-05-14；API 契约负责人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Context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顾客端、店员端和运营端需要稳定 API；实验二要求为预约服务和会员服务提供 OpenAPI 3.0。GraphQL 能减少前端多次请求，但会增加权限、缓存、复杂查询治理和字段级隐私控制成本。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Decision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v1.0 采用 REST + OpenAPI 作为外部和服务间主接口。API 网关负责鉴权、限流、路由和 traceId；复杂运营查询不直接拼装交易服务，而由运营分析读模型提供专用 REST 端点。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Consequences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正面：契约清晰、易测试、便于 Swagger/OpenAPI 工具链校验。</w:t>
            </w:r>
            <w:r>
              <w:rPr>
                <w:rFonts w:ascii="Microsoft YaHei" w:hAnsi="Microsoft YaHei" w:eastAsia="Microsoft YaHei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负面：部分页面可能需要多个端点或 BFF 聚合。</w:t>
            </w:r>
            <w:r>
              <w:rPr>
                <w:rFonts w:ascii="Microsoft YaHei" w:hAnsi="Microsoft YaHei" w:eastAsia="Microsoft YaHei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中性：未来可在 BFF 层引入 GraphQL，但不直接暴露核心交易服务。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Alternatives Considered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GraphQL 直连核心服务：字段治理和权限复杂，暂不采用。</w:t>
            </w:r>
            <w:r>
              <w:rPr>
                <w:rFonts w:ascii="Microsoft YaHei" w:hAnsi="Microsoft YaHei" w:eastAsia="Microsoft YaHei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gRPC 作为外部接口：浏览器和课程调试成本较高。</w:t>
            </w:r>
            <w:r>
              <w:rPr>
                <w:rFonts w:ascii="Microsoft YaHei" w:hAnsi="Microsoft YaHei" w:eastAsia="Microsoft YaHei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无契约先开发：会导致前后端联调和测试不可控。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Implementation Notes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D2-5 维护 reservation-service.yaml 与 member-service.yaml；所有写接口携带 Idempotency-Key 和 X-Trace-Id；错误响应统一引用 common/error-response.yaml。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References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D2-5 OpenAPI；ADR-0006。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