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701"/>
            <w:shd w:val="clear" w:color="auto" w:fill="EAF6EF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文件名</w:t>
            </w:r>
          </w:p>
        </w:tc>
        <w:tc>
          <w:tcPr>
            <w:tcW w:type="dxa" w:w="7370"/>
            <w:shd w:val="clear" w:color="auto" w:fill="EAF6E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0007-cross-border-data-strategy.docx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所属包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D2-7_架构决策记录ADR集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用途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决策主题：跨境数据同步策略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填写人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sz w:val="18"/>
              </w:rPr>
              <w:t>戴正宇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日期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sz w:val="18"/>
              </w:rPr>
              <w:t>2026-05-14</w:t>
            </w:r>
          </w:p>
        </w:tc>
      </w:tr>
    </w:tbl>
    <w:p>
      <w:pPr>
        <w:spacing w:line="269" w:lineRule="auto" w:after="60"/>
      </w:pPr>
    </w:p>
    <w:p>
      <w:pPr>
        <w:spacing w:line="269" w:lineRule="auto" w:after="60"/>
      </w:pPr>
      <w:r>
        <w:rPr>
          <w:rFonts w:ascii="Microsoft YaHei" w:hAnsi="Microsoft YaHei" w:eastAsia="Microsoft YaHei"/>
          <w:sz w:val="21"/>
        </w:rPr>
      </w:r>
      <w:r>
        <w:rPr>
          <w:rFonts w:ascii="Microsoft YaHei" w:hAnsi="Microsoft YaHei" w:eastAsia="Microsoft YaHei"/>
          <w:sz w:val="21"/>
        </w:rPr>
        <w:t>ADR 正文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字段</w:t>
            </w:r>
          </w:p>
        </w:tc>
        <w:tc>
          <w:tcPr>
            <w:tcW w:type="dxa" w:w="4873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内容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Title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0007 默认数据本地化，跨境仅传脱敏聚合特征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Status / Date / Owner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Accepted；2026-05-14；数据合规负责人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Context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NekoCafé 涉及手机号、偏好、订单、特殊需求和猫咪互动记录。AI 推荐可能调用外部云服务，未来运营也可能跨区域扩展。若不提前定义跨境边界，推荐、营销和报表功能会与隐私合规冲突。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Decision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默认所有个人信息和交易数据本地化存储；跨境或外部 AI 调用只允许传输脱敏聚合特征，例如偏好标签统计、门店热度、匿名行为摘要。禁止传输手机号、姓名、精确地址、订单明细、special_request 原文和未授权会员画像。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Consequences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正面：降低合规风险，仍保留推荐能力。</w:t>
            </w:r>
            <w:r>
              <w:rPr>
                <w:rFonts w:ascii="Microsoft YaHei" w:hAnsi="Microsoft YaHei" w:eastAsia="Microsoft YaHei"/>
                <w:sz w:val="18"/>
              </w:rP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负面：推荐效果可能低于完整画像，且需要额外脱敏处理。</w:t>
            </w:r>
            <w:r>
              <w:rPr>
                <w:rFonts w:ascii="Microsoft YaHei" w:hAnsi="Microsoft YaHei" w:eastAsia="Microsoft YaHei"/>
                <w:sz w:val="18"/>
              </w:rP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中性：跨境能力按授权和场景逐步开放，不作为 M1/M2 必需能力。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Alternatives Considered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传输完整会员画像给外部 AI：效果好但合规风险高。</w:t>
            </w:r>
            <w:r>
              <w:rPr>
                <w:rFonts w:ascii="Microsoft YaHei" w:hAnsi="Microsoft YaHei" w:eastAsia="Microsoft YaHei"/>
                <w:sz w:val="18"/>
              </w:rP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完全禁止外部推荐：安全但削弱智能化价值。</w:t>
            </w:r>
            <w:r>
              <w:rPr>
                <w:rFonts w:ascii="Microsoft YaHei" w:hAnsi="Microsoft YaHei" w:eastAsia="Microsoft YaHei"/>
                <w:sz w:val="18"/>
              </w:rP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只靠合同约束第三方：不能替代技术脱敏和授权校验。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Implementation Notes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D2-6 对跨境字段标注 [GDPR]/个人信息；D2-5 consents 增加 CROSS_BORDER 授权类型；M4 再验证跨区域同步、删除请求和导出请求。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References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D2-6 数据字典；QAS-06；个人信息保护法。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