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架构演进路线图（12 个月）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line="269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架构演进路线图（12 个月）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/>
      </w:pPr>
      <w:r>
        <w:rPr>
          <w:rFonts w:ascii="Microsoft YaHei" w:hAnsi="Microsoft YaHei" w:eastAsia="Microsoft YaHei"/>
          <w:sz w:val="21"/>
        </w:rPr>
        <w:br w:type="page"/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60" w:before="0" w:line="269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给 CTO 一份"我们如何从今天走到一年后"的可执行路线图。每个里程碑都要有"成功的样子（Definition of Success）"。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EAF6EF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文档说明</w:t>
            </w:r>
            <w:r>
              <w:rPr>
                <w:rFonts w:ascii="Microsoft YaHei" w:hAnsi="Microsoft YaHei" w:eastAsia="Microsoft YaHei"/>
                <w:sz w:val="18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本路线图已按实验二架构设计结果完成填写，覆盖现状评估、目标态、四阶段里程碑、风险登记与回滚策略；里程碑内容与 D2-2、D2-4、D2-5、D2-6、D2-7 保持引用一致。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096841"/>
          <w:sz w:val="36"/>
        </w:rPr>
        <w:t>1  现状评估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维度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现状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主要问题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改进方向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业务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已完成需求基线和架构设计；门店预约、会员、猫咪档案、支付、通知尚未统一上线。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跨门店预约和运营分析缺少统一入口。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M1 建立核心服务闭环，M2 建立运营读模型。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技术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已有 C4、OpenAPI、数据字典和 ADR 初稿。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容量锁、幂等、事件流和可观测还停留在设计层。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以预约服务为主线落地核心质量场景。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门店和会员数据口径分散，敏感字段需要统一标注。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报表、推荐、审计难以复用同一事实源。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交易库 + 事件 + 读模型，D2-6 持续维护。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课程小组角色明确，但长期治理流程尚不稳定。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接口变更、ADR 回顾、图文一致性容易遗漏。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每个里程碑设置契约检查与 ADR 复盘。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风险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支付回调、预约状态、隐私授权、跨区同步是高风险点。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任一环节失控都会影响 SLA 或合规。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风险登记册跟踪到负责人和缓解动作。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096841"/>
          <w:sz w:val="36"/>
        </w:rPr>
        <w:t>2  目标态描述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目标维度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12 个月目标态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可量化验收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架构形态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微服务 + 事件驱动 + CQRS 读模型；低频服务可合并部署但保留代码边界。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核心服务边界与 D2-4 C4、D2-5 OpenAPI 一致。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性能与可用性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预约提交 P95 &lt;= 350ms；预约核心链路 SLA &gt;= 99.9%。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压测 5000 QPS 高峰，容量锁冲突可控。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业务演进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新增门店配置零停机；运营看板可跨门店分析预约、收入、会员和活动效果。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门店灰度上线成功率 100%，关键指标 T+1 完整。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可观测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traceId 覆盖顾客端、预约、支付、通知和读模型。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关键链路 traceId 覆盖 &gt;= 95%，告警 &lt;= 5 分钟。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合规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个人信息删除、导出、授权撤回形成闭环。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删除请求 15 个工作日内完成；跨境数据默认不传明文。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096841"/>
          <w:sz w:val="36"/>
        </w:rPr>
        <w:t>3  阶段规划</w:t>
      </w: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里程碑 M1（第 1-3 月）：核心服务上线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完成顾客预约与到店消费的最小可用闭环，先把核心价值跑通。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范围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会员服务、门店服务、预约服务、订单支付、通知服务；容量锁、幂等键、统一错误响应。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关键交付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D2-5 OpenAPI 可联调；预约状态机与支付回调一致；通知事件可追踪；C4 L2/L3 与实现一致。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成功定义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顾客可完成浏览、预约、押金支付、取消、签到；预约冲突返回 409；核心日志含 traceId。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依赖/风险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依赖支付适配器和门店数据清洗；风险是支付回调乱序、容量锁未释放。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里程碑 M2（第 4-6 月）：AI 推荐接入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从同步交易闭环演进到事件驱动读模型，支撑运营看板和基础推荐。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范围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Outbox、消息队列、运营分析读模型、会员偏好、猫咪档案事件、推荐结果解释。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关键交付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ReservationConfirmed、PaymentCaptured、MemberConsentChanged 等事件可重放；看板读模型可重建。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成功定义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运营看板 T+1 指标完整率 &gt;= 99%；推荐结果展示理由；死信和积压可监控。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依赖/风险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依赖事件契约稳定；风险是消息积压、重复消费和读模型延迟。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3.3  里程碑 M3（第 7-9 月）：可观测、弹性治理与灰度发布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提升可观测、弹性和发布治理能力，让服务可扩容、可灰度、可回滚。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范围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统一 traceId、指标告警、灰度发布、服务限流、预约服务水平扩容、接口兼容策略。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关键交付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关键接口仪表盘；灰度开关；OpenAPI 兼容检查；ADR 回顾机制。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成功定义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traceId 覆盖 &gt;= 95%；关键告警 &lt;= 5 分钟；预约服务扩容后 P95 不退化。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依赖/风险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依赖监控指标和日志规范；风险是调用链过长、灰度策略误伤正常门店。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3.4  里程碑 M4（第 10-12 月）：跨境、多租户与课程复盘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形成多区域容灾、合规数据治理和高级运营分析能力。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范围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单 AZ 故障切换、隐私删除/导出、跨境授权、数据归档、活动 ROI 与会员分群分析。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关键交付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容灾演练报告；数据生命周期任务；隐私请求工作流；高级分析读模型。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成功定义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单 AZ 故障 RTO &lt;= 5 分钟；删除请求 &lt;= 15 工作日；跨境不传明文个人信息。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依赖/风险</w:t>
            </w:r>
          </w:p>
        </w:tc>
        <w:tc>
          <w:tcPr>
            <w:tcW w:type="dxa" w:w="4873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 D2-6 数据标注和 ADR-0007；风险是跨区同步延迟和合规规则变化。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096841"/>
          <w:sz w:val="36"/>
        </w:rPr>
        <w:t>4  风险登记册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ID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风险描述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影响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可能性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应对策略</w:t>
            </w:r>
          </w:p>
        </w:tc>
        <w:tc>
          <w:tcPr>
            <w:tcW w:type="dxa" w:w="1624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R-01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支付回调与预约状态不一致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支付写接口幂等；回调按状态机校验；异常进入补偿队列。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R-02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预约高峰容量锁竞争导致超卖或假满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tableId + timeSlot 唯一锁；TTL 清理；冲突返回 409。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R-03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消息积压造成通知和运营看板延迟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监控 lag；死信队列；消费者幂等；读模型可重建。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平台负责人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R-04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隐私授权撤回后仍被推荐或营销使用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ConsentChanged 事件驱动清理；推荐输入仅取授权数据。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R-05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服务拆分过快导致运维负担超过课程团队能力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低频服务合并部署但保留代码边界；按 M1-M4 分阶段拆分。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架构负责人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R-06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跨区域同步或外部 AI 调用触发合规风险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默认本地化；跨境只传脱敏聚合特征；M4 前不开放明文跨境。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合规负责人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R-07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C4、OpenAPI、数据字典与实现漂移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每个里程碑做 ADR 回顾和契约检查；变更必须更新对应文档。</w:t>
            </w:r>
          </w:p>
        </w:tc>
        <w:tc>
          <w:tcPr>
            <w:tcW w:type="dxa" w:w="1624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文档负责人</w:t>
            </w:r>
          </w:p>
        </w:tc>
      </w:tr>
    </w:tbl>
    <w:p>
      <w:pPr>
        <w:spacing w:line="269" w:lineRule="auto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治理机制：每个里程碑结束进行 ADR 回顾、C4 图更新、OpenAPI 契约检查和数据字典复核；所有跨服务接口必须有负责人、错误码、traceId、兼容策略和回滚方案。</w:t>
            </w:r>
          </w:p>
          <w:p>
            <w:pPr>
              <w:spacing w:line="259" w:lineRule="auto"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图2-7 架构演进与部署目标视图</w:t>
            </w:r>
          </w:p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6035040" cy="32857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3285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096841"/>
          <w:sz w:val="36"/>
        </w:rPr>
        <w:t>5  退出与回滚策略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阶段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退出条件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回滚策略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保留数据/接口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M1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支付、预约、通知任一核心链路连续失败或无法在 1 小时内恢复。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切回门店原有排号系统；新系统保留只读同步和问题排查。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保留预约草稿、支付流水、traceId。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M2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消息队列积压导致看板或通知不可接受延迟。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暂停异步消费，读模型回退到交易库只读查询；保留 Outbox 待重放。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保留事件日志和死信数据。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M3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灰度发布造成核心指标下降或错误率超过阈值。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关闭新版本流量；回退服务镜像；数据库字段保持向后兼容。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保留灰度指标和 OpenAPI 版本。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M4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跨区同步异常或隐私流程不满足合规要求。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切回单区域主写；暂停跨境/跨区同步；执行人工合规复核。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保留审计日志、授权记录、删除请求状态。</w:t>
            </w:r>
          </w:p>
        </w:tc>
      </w:tr>
    </w:tbl>
    <w:p>
      <w:pPr>
        <w:spacing w:line="269" w:lineRule="auto" w:after="6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