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0002-microservice-granularity.docx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决策主题：微服务粒度的判定准则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# 0002 按限界上下文确定微服务粒度</w:t>
            </w:r>
          </w:p>
          <w:p/>
          <w:p>
            <w:r>
              <w:t>Status: Accepted</w:t>
            </w:r>
          </w:p>
          <w:p/>
          <w:p>
            <w:r>
              <w:t>Context: NekoCafé 需要支撑 38 家门店、预约高峰 5000 QPS、新门店零停机上线和跨门店运营分析。过细拆分会增加运维成本，过粗拆分会导致预约、订单、会员和运营看板互相牵制。</w:t>
            </w:r>
          </w:p>
          <w:p/>
          <w:p>
            <w:r>
              <w:t>Decision: 以 DDD 限界上下文作为初始服务粒度，拆分会员、门店、预约、订单支付、猫咪档案、推荐、通知、运营分析 8 个服务。预约和订单支付为核心写服务，运营分析通过事件流构建读模型，推荐与通知作为支撑服务。</w:t>
            </w:r>
          </w:p>
          <w:p/>
          <w:p>
            <w:r>
              <w:t>Consequences: 正面影响是核心服务可独立扩容、边界清晰、与 C4 L2/L3 对齐；负面影响是跨服务调用和分布式一致性复杂度提高；中性影响是早期可把低频服务合并部署但保留代码边界。</w:t>
            </w:r>
          </w:p>
          <w:p/>
          <w:p>
            <w:r>
              <w:t>Alternatives Considered: 模块化单体，被放弃作为目标态，因为无法独立扩展预约热点；按数据库表拆服务，被放弃，因为会形成贫血服务和跨服务事务。</w:t>
            </w:r>
          </w:p>
          <w:p/>
          <w:p>
            <w:r>
              <w:t>References: D2-2 上下文映射图；D2-4 C4 容器图；ADR-0004。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