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5F6B66"/>
          <w:sz w:val="20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F6B66"/>
          <w:sz w:val="20"/>
        </w:rPr>
        <w:t>《软件工程》课程</w:t>
      </w:r>
    </w:p>
    <w:p>
      <w:pPr>
        <w:pStyle w:val="Title"/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需求验证报告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5F6B66"/>
          <w:sz w:val="20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B45"/>
          <w:sz w:val="22"/>
        </w:rPr>
        <w:t>—— 案例：NekoCafé 猫咪主题餐饮预约平台 ——</w:t>
      </w:r>
    </w:p>
    <w:p/>
    <w:tbl>
      <w:tblPr>
        <w:tblW w:type="dxa" w:w="10080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2520"/>
        <w:gridCol w:w="7560"/>
      </w:tblGrid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产出编号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9"/>
              </w:rPr>
              <w:t>D1-6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产出名称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9"/>
              </w:rPr>
              <w:t>需求验证报告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所属实验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9"/>
              </w:rPr>
              <w:t>实验一  智能化需求工程与 UML 建模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案例项目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9"/>
              </w:rPr>
              <w:t>NekoCafé 猫咪主题餐饮预约平台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模板版本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9"/>
              </w:rPr>
              <w:t>v1.0  ·  2026-05-06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班级 / 学号 / 姓名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计算机23-2 / 231002703 / 戴正宇</w:t>
            </w:r>
          </w:p>
        </w:tc>
      </w:tr>
      <w:tr>
        <w:tc>
          <w:tcPr>
            <w:tcW w:type="dxa" w:w="2520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9"/>
              </w:rPr>
              <w:t>提交日期</w:t>
            </w:r>
          </w:p>
        </w:tc>
        <w:tc>
          <w:tcPr>
            <w:tcW w:type="dxa" w:w="7560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2026-05-13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21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对 D1-3 SRS 进行验证：检查需求是否完整、一致、可验证、可追溯。本报告输出 缺陷列表 与 处置追踪，并据此决定是否冻结基线。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0"/>
              </w:rPr>
              <w:t>完成说明：</w:t>
            </w:r>
            <w:r>
              <w:rPr>
                <w:rFonts w:ascii="Microsoft YaHei" w:hAnsi="Microsoft YaHei" w:eastAsia="Microsoft YaHei"/>
                <w:b w:val="0"/>
                <w:sz w:val="20"/>
              </w:rPr>
              <w:t>本报告已按模板章节完成填写，用于验证 D1-3 SRS 与 D1-2 需求清单、D1-4 UML 模型、D1-5 追溯矩阵、D1-7 访谈证据之间的一致性、完整性、可验证性和风险边界。</w:t>
            </w:r>
          </w:p>
        </w:tc>
      </w:tr>
    </w:tbl>
    <w:p/>
    <w:p>
      <w:pPr>
        <w:pStyle w:val="Heading1"/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验证范围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6FBF8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验证对象：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D1-3《软件需求规格说明书 SRS》为主对象，同时交叉核对 D1-2、D1-4、D1-5、D1-7 的编号、术语、模型与来源证据。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覆盖范围：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功能需求 FR-001 至 FR-040、非功能需求 NFR-001 至 NFR-016、用例 UC-01 至 UC-12、9 张 UML 模型及 RTM 中的测试用例预占 ID。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验证重点：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预约订金、桌位锁定、支付回调、到店核销、扫码点单、会员权益、猫咪健康状态、通知补偿、报表导出、权限审计和个人信息保护。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范围边界：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不纳入真实医疗诊断、硬件门禁、完整财务总账和自动营销人群包；上述内容只作为风险边界或后续 TBD 说明。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基线口径：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本轮验证以 requirements-v1.0 为候选基线，严重度为 H 的缺陷必须关闭后方可冻结；M 级缺陷需形成明确处置记录或进入下一轮迭代。</w:t>
            </w:r>
          </w:p>
        </w:tc>
      </w:tr>
    </w:tbl>
    <w:p/>
    <w:p>
      <w:pPr>
        <w:pStyle w:val="Heading1"/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验证方法</w:t>
      </w:r>
    </w:p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检查清单（Checklist）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检查清单维度：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本次检查采用“完整性、一致性、明确性、可验证性、可追溯性、风险边界、范围控制”七类准则。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每条需求是否具有唯一 ID，并与 D1-5 RTM 中的来源、用例、实体、测试预占 ID 一一对应。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需求描述是否避免“尽快、友好、智能”等不可测词语，是否给出时间、状态、权限、失败处理或验收口径。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SRS、需求清单、UML 图、术语表中的角色、状态、对象名称是否一致。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预约取消、改期、迟到释放、支付失败、退款、通知失败等异常路径是否可测试。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猫咪健康、过敏提示、报表导出、会员营销和权限审计是否保留合规边界。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是否存在超出课程案例范围的硬件识别、医疗判断、自动营销或财务总账功能。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每个 Must 需求是否至少能追溯到访谈证据、课程任务书、UML 图或 AI 反向质询结果之一。</w:t>
            </w:r>
          </w:p>
          <w:p>
            <w:pPr>
              <w:spacing w:before="120"/>
              <w:jc w:val="center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5806440" cy="2903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46B45"/>
                <w:sz w:val="18"/>
              </w:rPr>
              <w:t>图 1 需求验证与追踪链路图</w:t>
            </w:r>
          </w:p>
        </w:tc>
      </w:tr>
    </w:tbl>
    <w:p/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原型评审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6FBF8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评审材料：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低保真流程原型、主用例图、预约活动图、订单状态机、下单顺序图、领域类图、SRS 功能需求表和 RTM 追溯矩阵。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参与角色：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模拟顾客 A、复购会员 B、门店店员、店长、总部运营代表和需求记录人，覆盖直接用户、业务支持者和外部约束视角。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评审场景：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浏览门店与猫咪、创建预约、订金支付、迟到处理、到店核销、扫码点单、优惠券校验、健康异常处理、低分评价工单和报表导出。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结论摘要：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原型评审确认主流程完整，但暴露出取消/退款边界、备用核验、通知授权、健康异常展示粒度和报表脱敏等需要进一步澄清的问题。</w:t>
            </w:r>
          </w:p>
        </w:tc>
      </w:tr>
    </w:tbl>
    <w:p/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AI 反向质询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Prompt 摘要：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请扮演严格的软件需求评审专家，基于 NekoCafé SRS、需求清单和 UML 模型，逐条检查二义性、冲突、缺失、不可验证、不可追溯、超出范围与高风险边界。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输出要求：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每个问题必须给出问题编号、缺陷类型、关联需求、触发场景、影响、建议修订、严重度和是否进入 D1-6 缺陷清单。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人工筛选标准：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只有会影响测试判定、模型一致性、多角色理解、支付/隐私/健康/审计风险或任务书追溯要求的问题才进入缺陷列表。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采纳结果：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AI 共提出 12 个有效问题，均经人工复核后登记；其中 H 级 2 项、M 级 10 项，无 L 级问题进入正式缺陷清单。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验证结果：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SRS 已覆盖课程任务书要求的主要功能、非功能约束和 UML 建模输入；本轮共识别 12 项需求缺陷，其中二义性 2 项、冲突 2 项、缺失 3 项、可验证性 1 项、可追溯性 1 项、可维护性 1 项、易用性 1 项、范围边界 1 项。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严重度分布：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H 级 2 项，集中在预约退款边界和报表导出合规；M 级 10 项，主要影响详细设计、测试用例编写和运营配置。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闭环情况：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截至本报告完成时，10 项已通过 SRS、D1-4、D1-5 或 D1-7 补充完成闭环，2 项作为运营规则 TBD 登记，均已给出责任人与关闭条件。</w:t>
            </w:r>
          </w:p>
        </w:tc>
      </w:tr>
    </w:tbl>
    <w:p/>
    <w:p>
      <w:pPr>
        <w:pStyle w:val="Heading1"/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缺陷列表</w:t>
      </w:r>
    </w:p>
    <w:tbl>
      <w:tblPr>
        <w:tblW w:type="dxa" w:w="10728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1080"/>
        <w:gridCol w:w="1224"/>
        <w:gridCol w:w="1584"/>
        <w:gridCol w:w="4968"/>
        <w:gridCol w:w="792"/>
        <w:gridCol w:w="1080"/>
      </w:tblGrid>
      <w:tr>
        <w:trPr>
          <w:tblHeader/>
        </w:trPr>
        <w:tc>
          <w:tcPr>
            <w:tcW w:type="dxa" w:w="1080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缺陷ID</w:t>
            </w:r>
          </w:p>
        </w:tc>
        <w:tc>
          <w:tcPr>
            <w:tcW w:type="dxa" w:w="1224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584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所在需求ID</w:t>
            </w:r>
          </w:p>
        </w:tc>
        <w:tc>
          <w:tcPr>
            <w:tcW w:type="dxa" w:w="4968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792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严重度</w:t>
            </w:r>
          </w:p>
        </w:tc>
        <w:tc>
          <w:tcPr>
            <w:tcW w:type="dxa" w:w="1080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D-001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二义性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FR-005/FR-006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预约改签、取消、迟到释放的时间窗口与退款边界不够量化。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H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D-002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二义性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FR-014/FR-016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会员等级、积分、优惠券叠加规则缺少统一阈值和冲突解释。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已登记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D-003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冲突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FR-031/NFR-015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活动推送便利性与授权、退订、频率控制边界未区分。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D-004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冲突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FR-040/NFR-015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报表导出便利性与敏感数据最小化、审计留痕存在约束关系。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H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D-005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缺失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FR-007/NFR-003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二维码、会员码或网络异常时缺少备用核验与事后补写流程。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D-006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缺失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NFR-009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备份恢复只描述方向，缺少 RPO/RTO 等可验收指标。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已登记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D-007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缺失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FR-035/FR-036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猫咪健康异常展示粒度、恢复权限和顾客端互动限制不够明确。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D-008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可验证性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FR-038/NFR-003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通知补偿未说明消息 ID、重试上限和重复通知抑制。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D-009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可追溯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D1-4/D1-5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UML 说明需补充与 FR/NFR、用例和测试预占 ID 的映射。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D-010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可维护性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NFR-014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多门店规则若依赖代码修改，会影响门店扩展和运营配置效率。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D-011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易用性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NFR-016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店员端普通提醒过多，可能干扰高峰期接待和出餐操作。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  <w:tr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D-012</w:t>
            </w:r>
          </w:p>
        </w:tc>
        <w:tc>
          <w:tcPr>
            <w:tcW w:type="dxa" w:w="12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范围边界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FR-035/FR-036</w:t>
            </w:r>
          </w:p>
        </w:tc>
        <w:tc>
          <w:tcPr>
            <w:tcW w:type="dxa" w:w="49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猫咪健康能力容易被误写为 AI 医疗诊断或自动判断。</w:t>
            </w:r>
          </w:p>
        </w:tc>
        <w:tc>
          <w:tcPr>
            <w:tcW w:type="dxa" w:w="7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已修复</w:t>
            </w:r>
          </w:p>
        </w:tc>
      </w:tr>
    </w:tbl>
    <w:p/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二义性问题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二义性问题：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以下为已进入正式缺陷清单的问题说明与处置建议。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D-001 已将取消、改签、迟到释放和退款拆为可测试状态，要求 SRS 明确默认保留 15 分钟、支付超时释放、取消时间窗口和退款状态反馈。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D-002 不直接写死全部运营数值，而是要求会员等级、积分、券叠加规则进入运营配置表；SRS 需说明规则来源、展示位置和冲突提示。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二义性处置原则：凡涉及时间、金额、状态、权限、责任人的描述，都必须能转化为 Given-When-Then 或测试数据。</w:t>
            </w:r>
          </w:p>
        </w:tc>
      </w:tr>
    </w:tbl>
    <w:p/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冲突问题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冲突问题：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以下为已进入正式缺陷清单的问题说明与处置建议。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D-003 将通知分为服务通知与营销通知：预约、核销、排队、支付、退款属于必要服务通知；优惠活动、会员召回属于营销通知，必须单独授权并支持关闭。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D-004 要求报表导出同时满足运营效率和合规约束：手机号脱敏、敏感字段最小化、导出审批、水印标识和操作日志缺一不可。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冲突处置原则：不简单删除业务需求，而是补充约束、权限、例外和优先级，使功能目标与非功能约束可并存。</w:t>
            </w:r>
          </w:p>
        </w:tc>
      </w:tr>
    </w:tbl>
    <w:p/>
    <w:p>
      <w:pPr>
        <w:pStyle w:val="Heading2"/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缺失问题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FF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缺失问题：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以下为已进入正式缺陷清单的问题说明与处置建议。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D-005 补充备用核验：扫码失败时可用手机号尾号或订单号人工核验，必须记录操作人、原因和补写时限。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D-006 补充备份恢复指标：课程实验阶段采用 RPO≤24 小时、RTO≤4 小时作为可验收参考指标，后续可由运维进一步收紧。</w:t>
            </w:r>
          </w:p>
          <w:p>
            <w:pPr>
              <w:pStyle w:val="ListBullet"/>
              <w:spacing w:after="40"/>
              <w:ind w:left="317" w:hanging="173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D-007 补充猫咪健康异常展示粒度：顾客端只展示互动限制和安全提示，不展示医疗化细节；恢复互动需店长或照护人员复核。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5EF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处置流程：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缺陷处置采用“登记、分派、修订、复查、关闭”的闭环。H 级缺陷由需求负责人优先澄清并回写 SRS；M 级缺陷可纳入 TBD，但必须给出责任人和下一步。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同步要求：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缺陷关闭时需同步更新 D1-2 需求清单、D1-3 SRS、D1-4 UML 说明、D1-5 RTM 和 D1-7 访谈/AI 证据记录，避免单点修订造成追溯断裂。</w:t>
            </w:r>
          </w:p>
        </w:tc>
      </w:tr>
    </w:tbl>
    <w:p/>
    <w:p>
      <w:pPr>
        <w:pStyle w:val="Heading1"/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缺陷处置追踪</w:t>
      </w:r>
    </w:p>
    <w:tbl>
      <w:tblPr>
        <w:tblW w:type="dxa" w:w="9647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1007"/>
        <w:gridCol w:w="1368"/>
        <w:gridCol w:w="2880"/>
        <w:gridCol w:w="1944"/>
        <w:gridCol w:w="1368"/>
        <w:gridCol w:w="1080"/>
      </w:tblGrid>
      <w:tr>
        <w:trPr>
          <w:tblHeader/>
        </w:trPr>
        <w:tc>
          <w:tcPr>
            <w:tcW w:type="dxa" w:w="1007"/>
            <w:shd w:val="clear" w:color="auto" w:fill="146B45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缺陷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146B45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146B45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处置动作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146B45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同步产物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146B45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复查结果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146B45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D-001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需求负责人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补充取消/改期/迟到/退款规则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SRS、状态机、RTM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D-002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运营代表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会员规则列为配置项与 TBD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SRS、术语表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待运营确认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登记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D-003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需求负责人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区分服务通知和营销通知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SRS、RTM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D-004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合规负责人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补充脱敏、审批、水印、日志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SRS、RTM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D-005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门店代表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补充备用核验与离线补写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SRS、活动图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D-006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运维代表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 RPO/RTO 指标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待确认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登记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D-007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店长/照护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补充健康展示粒度和恢复权限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SRS、活动图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D-008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技术负责人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补充消息幂等与重试上限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SRS、顺序图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D-009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建模负责人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 UML 说明中的需求覆盖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D1-4、RTM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D-010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架构负责人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补充配置化扩展约束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SRS、类图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D-011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交互负责人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补充低打扰提醒原则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SRS、店员场景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FFFFF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  <w:tr>
        <w:tc>
          <w:tcPr>
            <w:tcW w:type="dxa" w:w="100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D-012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需求负责人</w:t>
            </w:r>
          </w:p>
        </w:tc>
        <w:tc>
          <w:tcPr>
            <w:tcW w:type="dxa" w:w="28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明确 AI 不做医疗诊断</w:t>
            </w:r>
          </w:p>
        </w:tc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SRS、D1-7</w:t>
            </w:r>
          </w:p>
        </w:tc>
        <w:tc>
          <w:tcPr>
            <w:tcW w:type="dxa" w:w="13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已复查</w:t>
            </w:r>
          </w:p>
        </w:tc>
        <w:tc>
          <w:tcPr>
            <w:tcW w:type="dxa" w:w="10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shd w:fill="F6FBF8"/>
          </w:tcPr>
          <w:p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关闭</w:t>
            </w:r>
          </w:p>
        </w:tc>
      </w:tr>
    </w:tbl>
    <w:p/>
    <w:p>
      <w:pPr>
        <w:pStyle w:val="Heading1"/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结论与基线建议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6FBF8"/>
            <w:tcBorders>
              <w:top w:val="single" w:sz="8" w:space="0" w:color="B8C7BE"/>
              <w:left w:val="single" w:sz="8" w:space="0" w:color="B8C7BE"/>
              <w:bottom w:val="single" w:sz="8" w:space="0" w:color="B8C7BE"/>
              <w:right w:val="single" w:sz="8" w:space="0" w:color="B8C7BE"/>
              <w:insideH w:val="single" w:sz="8" w:space="0" w:color="B8C7BE"/>
              <w:insideV w:val="single" w:sz="8" w:space="0" w:color="B8C7BE"/>
            </w:tcBorders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结论：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requirements-v1.0 可作为实验一后续建模和测试设计的候选基线；H 级缺陷已完成修订，M 级缺陷均有处置记录或 TBD 归属。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冻结建议：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建议冻结 FR-001 至 FR-040、NFR-001 至 NFR-016、UC-01 至 UC-12 和 9 张 UML 模型的编号体系，后续只通过变更记录追加，不再随意重排编号。</w:t>
            </w:r>
          </w:p>
          <w:p>
            <w:pPr>
              <w:spacing w:after="60" w:line="276" w:lineRule="auto"/>
            </w:pPr>
            <w:r>
              <w:rPr>
                <w:rFonts w:ascii="Microsoft YaHei" w:hAnsi="Microsoft YaHei" w:eastAsia="Microsoft YaHei"/>
                <w:b/>
                <w:color w:val="146B45"/>
                <w:sz w:val="21"/>
              </w:rPr>
              <w:t>剩余 TBD：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会员等级阈值、积分兑换比例、部分门店差异化取消规则和运维备份指标可由业务/运维进一步确认，但不影响课程实验范围内的 SRS 完整性。</w:t>
            </w:r>
          </w:p>
        </w:tc>
      </w:tr>
    </w:tbl>
    <w:p/>
    <w:sectPr w:rsidR="00FC693F" w:rsidRPr="0006063C" w:rsidSect="00034616">
      <w:pgSz w:w="12240" w:h="15840"/>
      <w:pgMar w:top="1123" w:right="1181" w:bottom="1123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6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6B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46B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