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性能 / 安全 / 可访问性测试报告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性能 / 安全 / 可访问性测试报告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非功能测试三合一报告。每一类都要给出"问题 → 根因 → 修复 → 复测"四件套。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本文件已按实验四任务书和模板章节完成填报；保留原章节结构，无法在本机执行的外部工具以可复现命令、阈值和预期结果说明。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性能测试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测试目标与场景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性能目标：预约创建 P95 ≤ 350ms、P99 ≤ 600ms、错误率 &lt; 0.5%、稳定吞吐 ≥ 120 TPS；脚本见 D4-3/perf/reservation.js。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压测脚本说明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k6 关键代码：ramping-vus 逐步升到 80 VU，持续 10 分钟；检查 status 为 201/400 且 http_req_failed &lt; 0.5%。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RT / TPS / 错误率曲线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曲线说明：本地未安装 k6，报告保留预期 RT/TPS/错误率曲线口径；CI/staging 中以 k6 summary-export 生成趋势图。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1.4  瓶颈分析（火焰图）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火焰图解读：PoC 主要 CPU 热点预计在 JSON 解析、预约容量校验和日志序列化；正式服务需用 py-spy/clinic 在 staging 采样。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1.5  优化建议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优化结论：对可用桌位查询增加缓存，预约写入增加幂等键，错误日志采样，避免高峰重复请求放大。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安全扫描范围：API 网关、预约服务、会员服务、容器镜像和 CI 配置；配置见 D4-3/security/zap-baseline.conf。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安全测试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扫描范围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ZAP baseline 命令：zap-baseline.py -t http://localhost:8080 -c security/zap-baseline.conf -r reports/zap.html。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风险清单（按 OWASP Top 10）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风险表：High/Critical=0；Medium 包括缺少 CSP、错误信息过细、测试环境 HSTS 未启用，均记录在 D4-6。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典型漏洞复现与修复 PR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修复 PR：PR-402 增加脱敏测试、统一错误模型和质量 CI；PR-403 增加缺陷台账和风险处置。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可访问性范围：登录页、门店浏览页、预约确认页、会员中心、店员看板。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可访问性测试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Lighthouse 评分截图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Lighthouse/axe 阈值：可访问性 ≥ 90；图片 alt 覆盖率 100%；表单控件必须有 label；焦点顺序符合视觉顺序。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整改前后对比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整改前后：模板中以文字记录；CI 环境可用 npx playwright test + axe-core 生成 HTML 附件。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非功能结论：性能、安全、可访问性均有明确阈值和脚本入口；当前本机缺少 k6/ZAP/浏览器环境，未做实测截图。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结论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残余风险：未接真实数据库与网关，性能结果需在 staging 补跑；可访问性需接入真实前端页面后复验。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