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文件名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0004-message-broker-selection.docx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D2-7_架构决策记录ADR集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决策主题：消息中间件的选型（Kafka / RabbitMQ / RocketMQ）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内容大纲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Status：Proposed / Accepted / Deprecated / Superseded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Context：背景、问题陈述、约束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Decision：决策内容（陈述句，结论先行）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Consequences：正面影响 + 负面影响 + 中性影响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Alternatives Considered：被放弃的替代方案及放弃理由</w:t>
      </w:r>
    </w:p>
    <w:p>
      <w:pPr>
        <w:spacing w:after="40" w:line="348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References：参考资料、相关 ADR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# 0004 采用 Kafka 风格事件流，课程实现可用轻量队列替代</w:t>
            </w:r>
          </w:p>
          <w:p/>
          <w:p>
            <w:r>
              <w:t>Status: Accepted</w:t>
            </w:r>
          </w:p>
          <w:p/>
          <w:p>
            <w:r>
              <w:t>Context: 预约、订单、会员、猫咪健康和活动投放事件需要驱动通知、运营看板和推荐更新。系统需要事件可重放、顺序消费和较高吞吐，但课程实验阶段不一定部署完整 Kafka 集群。</w:t>
            </w:r>
          </w:p>
          <w:p/>
          <w:p>
            <w:r>
              <w:t>Decision: 目标架构采用 Kafka 作为事件流平台，关键主题包括 reservation-events、order-events、member-events、cat-health-events、campaign-events。每个写服务采用 Outbox Pattern 先写本地事务再投递事件；课程 PoC 可用 RabbitMQ 或内存队列模拟，但 ADR 目标态以 Kafka 为准。</w:t>
            </w:r>
          </w:p>
          <w:p/>
          <w:p>
            <w:r>
              <w:t>Consequences: 正面影响是读模型可重建、服务解耦、可支撑运营看板；负面影响是运维成本和消息语义复杂；中性影响是核心同步调用仍保留在预约创建等低延迟链路。</w:t>
            </w:r>
          </w:p>
          <w:p/>
          <w:p>
            <w:r>
              <w:t>Alternatives Considered: RabbitMQ 更易上手但重放和大吞吐较弱；RocketMQ 适合国内生态但课程资料和团队熟悉度较低；仅 REST 同步调用被放弃，因为会放大耦合。</w:t>
            </w:r>
          </w:p>
          <w:p/>
          <w:p>
            <w:r>
              <w:t>References: QAS-07；D2-4 L2 容器图；ADR-0002。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