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0005-api-style-rest-vs-graphql.docx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决策主题：REST 与 GraphQL 的取舍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内容大纲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Status：Proposed / Accepted / Deprecated / Superseded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Context：背景、问题陈述、约束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Decision：决策内容（陈述句，结论先行）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Consequences：正面影响 + 负面影响 + 中性影响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Alternatives Considered：被放弃的替代方案及放弃理由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References：参考资料、相关 ADR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# 0005 外部与服务间主接口采用 REST，聚合查询由读模型承担</w:t>
            </w:r>
          </w:p>
          <w:p/>
          <w:p>
            <w:r>
              <w:t>Status: Accepted</w:t>
            </w:r>
          </w:p>
          <w:p/>
          <w:p>
            <w:r>
              <w:t>Context: 顾客端、店员端和运营端需要稳定 API；实验二要求为预约服务和会员服务提供 OpenAPI 3.0。GraphQL 能减少前端多次请求，但会增加权限、缓存和查询复杂度。</w:t>
            </w:r>
          </w:p>
          <w:p/>
          <w:p>
            <w:r>
              <w:t>Decision: v1.0 采用 REST + OpenAPI 作为外部和服务间主接口。API 网关负责鉴权、限流、路由和 traceId；复杂运营查询不通过 GraphQL 拼装交易服务，而由运营分析读模型提供专用 REST 端点。</w:t>
            </w:r>
          </w:p>
          <w:p/>
          <w:p>
            <w:r>
              <w:t>Consequences: 正面影响是契约清晰、易测试、与 Swagger/OpenAPI 工具链一致；负面影响是部分页面可能需要多个端点；中性影响是未来可在 BFF 层引入 GraphQL，但不直接暴露核心服务。</w:t>
            </w:r>
          </w:p>
          <w:p/>
          <w:p>
            <w:r>
              <w:t>Alternatives Considered: GraphQL 被延后，因为授权和缓存复杂；gRPC 被保留用于未来内部高性能调用，但课程阶段 REST 更利于评审。</w:t>
            </w:r>
          </w:p>
          <w:p/>
          <w:p>
            <w:r>
              <w:t>References: D2-5 OpenAPI；ADR-0006。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