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0007-cross-border-data-strategy.docx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D2-7_架构决策记录ADR集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决策主题：跨境数据同步策略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r>
              <w:t>2026-05-14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Status：Proposed / Accepted / Deprecated / Superseded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Context：背景、问题陈述、约束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Decision：决策内容（陈述句，结论先行）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Consequences：正面影响 + 负面影响 + 中性影响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Alternatives Considered：被放弃的替代方案及放弃理由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References：参考资料、相关 ADR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r>
              <w:t># 0007 默认数据本地化，跨境仅传脱敏聚合特征</w:t>
            </w:r>
          </w:p>
          <w:p/>
          <w:p>
            <w:r>
              <w:t>Status: Accepted</w:t>
            </w:r>
          </w:p>
          <w:p/>
          <w:p>
            <w:r>
              <w:t>Context: NekoCafé 涉及个人信息、偏好、订单、特殊需求和猫咪互动记录。AI 推荐可能调用外部云服务，运营未来可能跨区域分析。任务书要求关注个人信息保护和跨境数据策略。</w:t>
            </w:r>
          </w:p>
          <w:p/>
          <w:p>
            <w:r>
              <w:t>Decision: 默认所有个人信息和交易数据在中国区本地存储。调用境外 AI 或跨区域分析时，只允许发送脱敏、聚合、最小必要特征，例如偏好标签、城市级门店特征、猫咪可互动状态，不发送手机号、姓名、精确地址、订单明细和特殊需求原文。跨境开关由配置和审计控制。</w:t>
            </w:r>
          </w:p>
          <w:p/>
          <w:p>
            <w:r>
              <w:t>Consequences: 正面影响是降低合规风险并保留推荐能力；负面影响是推荐效果可能低于完整画像；中性影响是需要在数据字典中标注敏感字段和是否可出境。</w:t>
            </w:r>
          </w:p>
          <w:p/>
          <w:p>
            <w:r>
              <w:t>Alternatives Considered: 全量同步到境外分析平台被放弃，风险过高；完全禁用外部 AI 被放弃，因为会削弱推荐目标。</w:t>
            </w:r>
          </w:p>
          <w:p/>
          <w:p>
            <w:r>
              <w:t>References: D2-6 数据字典；QAS-06；个人信息保护法。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