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0" w:after="160"/>
        <w:jc w:val="center"/>
      </w:pPr>
      <w:r>
        <w:rPr>
          <w:rFonts w:ascii="Microsoft YaHei" w:hAnsi="Microsoft YaHei" w:eastAsia="Microsoft YaHei"/>
          <w:b w:val="0"/>
          <w:color w:val="777777"/>
          <w:sz w:val="28"/>
        </w:rPr>
        <w:t>北京林业大学 · 信息学院</w:t>
      </w:r>
    </w:p>
    <w:p>
      <w:pPr>
        <w:spacing w:after="80"/>
        <w:jc w:val="center"/>
      </w:pPr>
      <w:r>
        <w:rPr>
          <w:rFonts w:ascii="Microsoft YaHei" w:hAnsi="Microsoft YaHei" w:eastAsia="Microsoft YaHei"/>
          <w:b/>
          <w:color w:val="1A7A3D"/>
          <w:sz w:val="32"/>
        </w:rPr>
        <w:t>《软件工程》课程</w:t>
      </w:r>
    </w:p>
    <w:p>
      <w:pPr>
        <w:spacing w:after="80"/>
        <w:jc w:val="center"/>
      </w:pPr>
      <w:r>
        <w:rPr>
          <w:rFonts w:ascii="Microsoft YaHei" w:hAnsi="Microsoft YaHei" w:eastAsia="Microsoft YaHei"/>
          <w:b/>
          <w:color w:val="1A7A3D"/>
          <w:sz w:val="56"/>
        </w:rPr>
        <w:t>架构演进路线图（12 个月）</w:t>
      </w:r>
    </w:p>
    <w:p>
      <w:pPr>
        <w:spacing w:after="80"/>
        <w:jc w:val="center"/>
      </w:pPr>
      <w:r>
        <w:rPr>
          <w:rFonts w:ascii="Microsoft YaHei" w:hAnsi="Microsoft YaHei" w:eastAsia="Microsoft YaHei"/>
          <w:b w:val="0"/>
          <w:color w:val="777777"/>
          <w:sz w:val="28"/>
        </w:rPr>
        <w:t>Deliverable Template</w:t>
      </w:r>
    </w:p>
    <w:p>
      <w:pPr>
        <w:spacing w:after="160"/>
        <w:jc w:val="center"/>
      </w:pPr>
      <w:r>
        <w:rPr>
          <w:rFonts w:ascii="Microsoft YaHei" w:hAnsi="Microsoft YaHei" w:eastAsia="Microsoft YaHei"/>
          <w:b/>
          <w:color w:val="2E9B55"/>
          <w:sz w:val="26"/>
        </w:rPr>
        <w:t>—— 案例：NekoCafé 猫咪主题餐饮预约平台 ——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产出编号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D2-8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产出名称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架构演进路线图（12 个月）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所属实验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实验二  软件架构设计与微服务拆分实践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案例项目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NekoCafé 猫咪主题餐饮预约平台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模板版本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v1.0  ·  2026-05-06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班级 / 学号 / 姓名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r>
              <w:t>计算机23-2 / 231002703 / 戴正宇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提交日期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r>
              <w:t>2026-05-14</w:t>
            </w:r>
          </w:p>
        </w:tc>
      </w:tr>
    </w:tbl>
    <w:p/>
    <w:p>
      <w:r>
        <w:br w:type="page"/>
      </w:r>
    </w:p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使用说明</w:t>
      </w:r>
    </w:p>
    <w:p>
      <w:pPr>
        <w:spacing w:after="80" w:before="0" w:line="336" w:lineRule="auto"/>
        <w:ind w:firstLine="340"/>
        <w:jc w:val="left"/>
      </w:pPr>
      <w:r>
        <w:rPr>
          <w:rFonts w:ascii="Microsoft YaHei" w:hAnsi="Microsoft YaHei" w:eastAsia="Microsoft YaHei"/>
          <w:b w:val="0"/>
          <w:color w:val="2B2B2B"/>
          <w:sz w:val="21"/>
        </w:rPr>
        <w:t>给 CTO 一份"我们如何从今天走到一年后"的可执行路线图。每个里程碑都要有"成功的样子（Definition of Success）"。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EAF4EC"/>
            <w:tcBorders>
              <w:top w:val="single" w:sz="8" w:space="0" w:color="B8D8C2"/>
              <w:left w:val="single" w:sz="8" w:space="0" w:color="B8D8C2"/>
              <w:bottom w:val="single" w:sz="8" w:space="0" w:color="B8D8C2"/>
              <w:right w:val="single" w:sz="8" w:space="0" w:color="B8D8C2"/>
            </w:tcBorders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 xml:space="preserve">📌 填写指引 </w:t>
            </w:r>
          </w:p>
          <w:p>
            <w:pPr>
              <w:spacing w:after="40" w:line="336" w:lineRule="auto"/>
            </w:pPr>
            <w:r>
              <w:rPr>
                <w:rFonts w:ascii="Microsoft YaHei" w:hAnsi="Microsoft YaHei" w:eastAsia="Microsoft YaHei"/>
                <w:b w:val="0"/>
                <w:color w:val="2B2B2B"/>
                <w:sz w:val="20"/>
              </w:rPr>
              <w:t>本模板按章节结构预设了每节的标题与提示。请在每个 "（请在此处填写……）" 区域中替换为正式内容；不允许删除章节标题；如某节确实不适用，请保留标题并标注「N/A 及理由」。</w:t>
            </w:r>
          </w:p>
        </w:tc>
      </w:tr>
    </w:tbl>
    <w:p/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1  现状评估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现状：团队为课程实验小组，已完成实验一需求基线；已有门店独立排号系统，缺少统一会员、跨门店预约、猫咪档案和运营看板。主要技术债是数据口径分散、预约高峰缺少容量锁、支付状态与预约状态未统一、缺少可观测链路。</w:t>
            </w:r>
          </w:p>
        </w:tc>
      </w:tr>
    </w:tbl>
    <w:p/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2  目标态描述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目标态：12 个月后形成微服务 + 事件驱动 + CQRS 架构，核心预约 SLA ≥99.9%，预约提交 P95≤350ms，高峰 5000QPS；新增门店配置零停机；总部可查看跨门店经营指标；ADR、OpenAPI、C4 和数据字典形成可持续治理资产。</w:t>
            </w:r>
          </w:p>
        </w:tc>
      </w:tr>
    </w:tbl>
    <w:p/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3  阶段规划</w:t>
      </w:r>
    </w:p>
    <w:p>
      <w:pPr>
        <w:keepNext/>
        <w:spacing w:before="200" w:after="120"/>
        <w:pBdr>
          <w:bottom w:val="single" w:sz="4" w:space="4" w:color="4DB872"/>
        </w:pBdr>
      </w:pPr>
      <w:r>
        <w:rPr>
          <w:rFonts w:ascii="Microsoft YaHei" w:hAnsi="Microsoft YaHei" w:eastAsia="Microsoft YaHei"/>
          <w:b/>
          <w:color w:val="1A7A3D"/>
          <w:sz w:val="30"/>
        </w:rPr>
        <w:t>3.1  里程碑 M1（第 1-3 月）：核心服务上线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M1（第 1-3 月）范围：上线会员、门店、预约、订单支付、通知最小闭环；验收：顾客可完成浏览、预约、点单支付和通知；预约容量锁生效；关键接口有 OpenAPI；风险：支付回调和预约状态不一致。</w:t>
            </w:r>
          </w:p>
        </w:tc>
      </w:tr>
    </w:tbl>
    <w:p/>
    <w:p>
      <w:pPr>
        <w:keepNext/>
        <w:spacing w:before="200" w:after="120"/>
        <w:pBdr>
          <w:bottom w:val="single" w:sz="4" w:space="4" w:color="4DB872"/>
        </w:pBdr>
      </w:pPr>
      <w:r>
        <w:rPr>
          <w:rFonts w:ascii="Microsoft YaHei" w:hAnsi="Microsoft YaHei" w:eastAsia="Microsoft YaHei"/>
          <w:b/>
          <w:color w:val="1A7A3D"/>
          <w:sz w:val="30"/>
        </w:rPr>
        <w:t>3.2  里程碑 M2（第 4-6 月）：AI 推荐接入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M2（第 4-6 月）范围：引入消息队列、Outbox、运营读模型和基础推荐；验收：预约/订单/会员事件可驱动看板，失败事件可重放；推荐结果有可解释理由；风险：消息积压和读模型延迟。</w:t>
            </w:r>
          </w:p>
        </w:tc>
      </w:tr>
    </w:tbl>
    <w:p/>
    <w:p>
      <w:pPr>
        <w:keepNext/>
        <w:spacing w:before="200" w:after="120"/>
        <w:pBdr>
          <w:bottom w:val="single" w:sz="4" w:space="4" w:color="4DB872"/>
        </w:pBdr>
      </w:pPr>
      <w:r>
        <w:rPr>
          <w:rFonts w:ascii="Microsoft YaHei" w:hAnsi="Microsoft YaHei" w:eastAsia="Microsoft YaHei"/>
          <w:b/>
          <w:color w:val="1A7A3D"/>
          <w:sz w:val="30"/>
        </w:rPr>
        <w:t>3.3  里程碑 M3（第 7-12 月）：跨境与多租户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M3（第 7-9 月）范围：强化可观测、弹性治理和灰度发布；验收：traceId 覆盖≥95%，关键链路告警≤5分钟，预约服务可水平扩容；风险：服务调用链过长。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M4（第 10-12 月）范围：多区域容灾、合规数据治理和高级运营分析；验收：单 AZ 故障 RTO≤5min，个人信息删除流程≤15工作日，活动 ROI 可按门店/会员分群分析；风险：跨区域数据同步和合规规则变化。</w:t>
            </w:r>
          </w:p>
        </w:tc>
      </w:tr>
    </w:tbl>
    <w:p/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4  风险登记册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624"/>
        <w:gridCol w:w="1624"/>
        <w:gridCol w:w="1624"/>
        <w:gridCol w:w="1624"/>
        <w:gridCol w:w="1624"/>
        <w:gridCol w:w="1624"/>
      </w:tblGrid>
      <w:tr>
        <w:tc>
          <w:tcPr>
            <w:tcW w:type="dxa" w:w="680"/>
            <w:shd w:val="clear" w:color="auto" w:fill="1A7A3D"/>
            <w:tcBorders>
              <w:top w:val="single" w:sz="4" w:space="0" w:color="1A7A3D"/>
              <w:left w:val="single" w:sz="4" w:space="0" w:color="1A7A3D"/>
              <w:bottom w:val="single" w:sz="4" w:space="0" w:color="1A7A3D"/>
              <w:right w:val="single" w:sz="4" w:space="0" w:color="1A7A3D"/>
            </w:tcBorders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ID</w:t>
            </w:r>
          </w:p>
        </w:tc>
        <w:tc>
          <w:tcPr>
            <w:tcW w:type="dxa" w:w="2835"/>
            <w:shd w:val="clear" w:color="auto" w:fill="1A7A3D"/>
            <w:tcBorders>
              <w:top w:val="single" w:sz="4" w:space="0" w:color="1A7A3D"/>
              <w:left w:val="single" w:sz="4" w:space="0" w:color="1A7A3D"/>
              <w:bottom w:val="single" w:sz="4" w:space="0" w:color="1A7A3D"/>
              <w:right w:val="single" w:sz="4" w:space="0" w:color="1A7A3D"/>
            </w:tcBorders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风险描述</w:t>
            </w:r>
          </w:p>
        </w:tc>
        <w:tc>
          <w:tcPr>
            <w:tcW w:type="dxa" w:w="567"/>
            <w:shd w:val="clear" w:color="auto" w:fill="1A7A3D"/>
            <w:tcBorders>
              <w:top w:val="single" w:sz="4" w:space="0" w:color="1A7A3D"/>
              <w:left w:val="single" w:sz="4" w:space="0" w:color="1A7A3D"/>
              <w:bottom w:val="single" w:sz="4" w:space="0" w:color="1A7A3D"/>
              <w:right w:val="single" w:sz="4" w:space="0" w:color="1A7A3D"/>
            </w:tcBorders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影响</w:t>
            </w:r>
          </w:p>
        </w:tc>
        <w:tc>
          <w:tcPr>
            <w:tcW w:type="dxa" w:w="850"/>
            <w:shd w:val="clear" w:color="auto" w:fill="1A7A3D"/>
            <w:tcBorders>
              <w:top w:val="single" w:sz="4" w:space="0" w:color="1A7A3D"/>
              <w:left w:val="single" w:sz="4" w:space="0" w:color="1A7A3D"/>
              <w:bottom w:val="single" w:sz="4" w:space="0" w:color="1A7A3D"/>
              <w:right w:val="single" w:sz="4" w:space="0" w:color="1A7A3D"/>
            </w:tcBorders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可能性</w:t>
            </w:r>
          </w:p>
        </w:tc>
        <w:tc>
          <w:tcPr>
            <w:tcW w:type="dxa" w:w="2835"/>
            <w:shd w:val="clear" w:color="auto" w:fill="1A7A3D"/>
            <w:tcBorders>
              <w:top w:val="single" w:sz="4" w:space="0" w:color="1A7A3D"/>
              <w:left w:val="single" w:sz="4" w:space="0" w:color="1A7A3D"/>
              <w:bottom w:val="single" w:sz="4" w:space="0" w:color="1A7A3D"/>
              <w:right w:val="single" w:sz="4" w:space="0" w:color="1A7A3D"/>
            </w:tcBorders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应对策略</w:t>
            </w:r>
          </w:p>
        </w:tc>
        <w:tc>
          <w:tcPr>
            <w:tcW w:type="dxa" w:w="1134"/>
            <w:shd w:val="clear" w:color="auto" w:fill="1A7A3D"/>
            <w:tcBorders>
              <w:top w:val="single" w:sz="4" w:space="0" w:color="1A7A3D"/>
              <w:left w:val="single" w:sz="4" w:space="0" w:color="1A7A3D"/>
              <w:bottom w:val="single" w:sz="4" w:space="0" w:color="1A7A3D"/>
              <w:right w:val="single" w:sz="4" w:space="0" w:color="1A7A3D"/>
            </w:tcBorders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负责人</w:t>
            </w:r>
          </w:p>
        </w:tc>
      </w:tr>
      <w:tr>
        <w:tc>
          <w:tcPr>
            <w:tcW w:type="dxa" w:w="1624"/>
          </w:tcPr>
          <w:p>
            <w:r>
              <w:t>R-01</w:t>
            </w:r>
          </w:p>
        </w:tc>
        <w:tc>
          <w:tcPr>
            <w:tcW w:type="dxa" w:w="1624"/>
          </w:tcPr>
          <w:p>
            <w:r>
              <w:t>微服务运维复杂度超过小组能力</w:t>
            </w:r>
          </w:p>
        </w:tc>
        <w:tc>
          <w:tcPr>
            <w:tcW w:type="dxa" w:w="1624"/>
          </w:tcPr>
          <w:p>
            <w:r>
              <w:t>高</w:t>
            </w:r>
          </w:p>
        </w:tc>
        <w:tc>
          <w:tcPr>
            <w:tcW w:type="dxa" w:w="1624"/>
          </w:tcPr>
          <w:p>
            <w:r>
              <w:t>中</w:t>
            </w:r>
          </w:p>
        </w:tc>
        <w:tc>
          <w:tcPr>
            <w:tcW w:type="dxa" w:w="1624"/>
          </w:tcPr>
          <w:p>
            <w:r>
              <w:t>先拆核心服务，非核心保留模块化；用 ADR 管理边界</w:t>
            </w:r>
          </w:p>
        </w:tc>
        <w:tc>
          <w:tcPr>
            <w:tcW w:type="dxa" w:w="1624"/>
          </w:tcPr>
          <w:p>
            <w:r>
              <w:t>戴正宇</w:t>
            </w:r>
          </w:p>
        </w:tc>
      </w:tr>
      <w:tr>
        <w:tc>
          <w:tcPr>
            <w:tcW w:type="dxa" w:w="1624"/>
          </w:tcPr>
          <w:p>
            <w:r>
              <w:t>R-02</w:t>
            </w:r>
          </w:p>
        </w:tc>
        <w:tc>
          <w:tcPr>
            <w:tcW w:type="dxa" w:w="1624"/>
          </w:tcPr>
          <w:p>
            <w:r>
              <w:t>消息积压导致看板延迟</w:t>
            </w:r>
          </w:p>
        </w:tc>
        <w:tc>
          <w:tcPr>
            <w:tcW w:type="dxa" w:w="1624"/>
          </w:tcPr>
          <w:p>
            <w:r>
              <w:t>中</w:t>
            </w:r>
          </w:p>
        </w:tc>
        <w:tc>
          <w:tcPr>
            <w:tcW w:type="dxa" w:w="1624"/>
          </w:tcPr>
          <w:p>
            <w:r>
              <w:t>中</w:t>
            </w:r>
          </w:p>
        </w:tc>
        <w:tc>
          <w:tcPr>
            <w:tcW w:type="dxa" w:w="1624"/>
          </w:tcPr>
          <w:p>
            <w:r>
              <w:t>Outbox + 重试 + 死信队列 + 读模型延迟监控</w:t>
            </w:r>
          </w:p>
        </w:tc>
        <w:tc>
          <w:tcPr>
            <w:tcW w:type="dxa" w:w="1624"/>
          </w:tcPr>
          <w:p>
            <w:r>
              <w:t>戴正宇</w:t>
            </w:r>
          </w:p>
        </w:tc>
      </w:tr>
      <w:tr>
        <w:tc>
          <w:tcPr>
            <w:tcW w:type="dxa" w:w="1624"/>
          </w:tcPr>
          <w:p>
            <w:r>
              <w:t>R-03</w:t>
            </w:r>
          </w:p>
        </w:tc>
        <w:tc>
          <w:tcPr>
            <w:tcW w:type="dxa" w:w="1624"/>
          </w:tcPr>
          <w:p>
            <w:r>
              <w:t>第三方支付限流或回调失败</w:t>
            </w:r>
          </w:p>
        </w:tc>
        <w:tc>
          <w:tcPr>
            <w:tcW w:type="dxa" w:w="1624"/>
          </w:tcPr>
          <w:p>
            <w:r>
              <w:t>高</w:t>
            </w:r>
          </w:p>
        </w:tc>
        <w:tc>
          <w:tcPr>
            <w:tcW w:type="dxa" w:w="1624"/>
          </w:tcPr>
          <w:p>
            <w:r>
              <w:t>中</w:t>
            </w:r>
          </w:p>
        </w:tc>
        <w:tc>
          <w:tcPr>
            <w:tcW w:type="dxa" w:w="1624"/>
          </w:tcPr>
          <w:p>
            <w:r>
              <w:t>幂等键、对账任务、多通道路由、人工补偿</w:t>
            </w:r>
          </w:p>
        </w:tc>
        <w:tc>
          <w:tcPr>
            <w:tcW w:type="dxa" w:w="1624"/>
          </w:tcPr>
          <w:p>
            <w:r>
              <w:t>戴正宇</w:t>
            </w:r>
          </w:p>
        </w:tc>
      </w:tr>
      <w:tr>
        <w:tc>
          <w:tcPr>
            <w:tcW w:type="dxa" w:w="1624"/>
          </w:tcPr>
          <w:p>
            <w:r>
              <w:t>R-04</w:t>
            </w:r>
          </w:p>
        </w:tc>
        <w:tc>
          <w:tcPr>
            <w:tcW w:type="dxa" w:w="1624"/>
          </w:tcPr>
          <w:p>
            <w:r>
              <w:t>隐私合规规则变化</w:t>
            </w:r>
          </w:p>
        </w:tc>
        <w:tc>
          <w:tcPr>
            <w:tcW w:type="dxa" w:w="1624"/>
          </w:tcPr>
          <w:p>
            <w:r>
              <w:t>高</w:t>
            </w:r>
          </w:p>
        </w:tc>
        <w:tc>
          <w:tcPr>
            <w:tcW w:type="dxa" w:w="1624"/>
          </w:tcPr>
          <w:p>
            <w:r>
              <w:t>低</w:t>
            </w:r>
          </w:p>
        </w:tc>
        <w:tc>
          <w:tcPr>
            <w:tcW w:type="dxa" w:w="1624"/>
          </w:tcPr>
          <w:p>
            <w:r>
              <w:t>隐私授权中心化、脱敏调用、定期审计</w:t>
            </w:r>
          </w:p>
        </w:tc>
        <w:tc>
          <w:tcPr>
            <w:tcW w:type="dxa" w:w="1624"/>
          </w:tcPr>
          <w:p>
            <w:r>
              <w:t>戴正宇</w:t>
            </w:r>
          </w:p>
        </w:tc>
      </w:tr>
      <w:tr>
        <w:tc>
          <w:tcPr>
            <w:tcW w:type="dxa" w:w="1624"/>
          </w:tcPr>
          <w:p>
            <w:r>
              <w:t>R-05</w:t>
            </w:r>
          </w:p>
        </w:tc>
        <w:tc>
          <w:tcPr>
            <w:tcW w:type="dxa" w:w="1624"/>
          </w:tcPr>
          <w:p>
            <w:r>
              <w:t>推荐结果影响猫咪健康或顾客体验</w:t>
            </w:r>
          </w:p>
        </w:tc>
        <w:tc>
          <w:tcPr>
            <w:tcW w:type="dxa" w:w="1624"/>
          </w:tcPr>
          <w:p>
            <w:r>
              <w:t>中</w:t>
            </w:r>
          </w:p>
        </w:tc>
        <w:tc>
          <w:tcPr>
            <w:tcW w:type="dxa" w:w="1624"/>
          </w:tcPr>
          <w:p>
            <w:r>
              <w:t>中</w:t>
            </w:r>
          </w:p>
        </w:tc>
        <w:tc>
          <w:tcPr>
            <w:tcW w:type="dxa" w:w="1624"/>
          </w:tcPr>
          <w:p>
            <w:r>
              <w:t>猫咪健康状态优先，推荐结果可解释且可关闭</w:t>
            </w:r>
          </w:p>
        </w:tc>
        <w:tc>
          <w:tcPr>
            <w:tcW w:type="dxa" w:w="1624"/>
          </w:tcPr>
          <w:p>
            <w:r>
              <w:t>戴正宇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治理机制：每个里程碑结束进行 ADR 回顾、C4 图更新和 OpenAPI 契约检查；所有跨服务接口必须有负责人、错误码、traceId 和兼容策略；关键架构风险进入风险清单并在下一阶段闭环。</w:t>
            </w:r>
          </w:p>
          <w:p>
            <w:pPr>
              <w:spacing w:before="0" w:after="0"/>
            </w:pP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983480" cy="2958941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83480" cy="295894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t>图2-7 架构演进与部署目标视图</w:t>
            </w:r>
          </w:p>
        </w:tc>
      </w:tr>
    </w:tbl>
    <w:p/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5  退出与回滚策略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回滚策略：M1 回滚到门店原有排号系统并保留只读同步；M2 读模型异常时回退到交易库只读查询；M3 灰度失败时关闭新版本流量并保留数据库向后兼容字段；M4 多区域策略异常时切回单区域主写，暂停跨境/跨区同步。</w:t>
            </w:r>
          </w:p>
        </w:tc>
      </w:tr>
    </w:tbl>
    <w:p/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戴正宇</dc:creator>
  <cp:keywords/>
  <dc:description>generated by python-docx</dc:description>
  <cp:lastModifiedBy>戴正宇</cp:lastModifiedBy>
  <cp:revision>1</cp:revision>
  <dcterms:created xsi:type="dcterms:W3CDTF">2013-12-23T23:15:00Z</dcterms:created>
  <dcterms:modified xsi:type="dcterms:W3CDTF">2013-12-23T23:15:00Z</dcterms:modified>
  <cp:category/>
</cp:coreProperties>
</file>