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事件风暴与上下文映射图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D2-2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事件风暴与上下文映射图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实验二  软件架构设计与微服务拆分实践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计算机23-2 / 231002703 / 戴正宇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2026-05-14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以事件风暴方法识别领域事件，进而划分限界上下文。本文档是后续 ADR 与 C4 图的依据。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事件风暴会议纪要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参与者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参与者：戴正宇（主持与记录）；AI 模拟顾客代表（预约/会员体验）；AI 模拟店员（门店调度）；AI 模拟运营总监（指标与活动）；AI 模拟架构师（边界和集成）。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方法说明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Big Picture 阶段识别业务事件和外部系统；Process Modeling 阶段串联预约、点单、支付、健康打卡、运营分析；Software Modeling 阶段把事件聚合到 8 个限界上下文，并标注 Customer-Supplier、Conformist、ACL、Published Language 等关系。</w:t>
            </w:r>
          </w:p>
          <w:p>
            <w:pPr>
              <w:spacing w:before="0" w:after="0"/>
            </w:pP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49240" cy="243687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2436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图2-2a 事件风暴到限界上下文拆分流程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事件风暴结论：NekoCafé 的核心域是预约与门店履约，支撑域是会员、订单支付、猫咪档案、推荐、通知和运营分析。预约上下文是写入热点，订单支付是强一致边界，运营分析适合通过事件驱动构建读模型。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领域事件列表（≥ 30 条）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顾客已注册 → 会员偏好已更新 → 隐私授权已变更 → 门店已发布 → 桌位已配置 → 营业时间已调整 → 猫咪档案已创建 → 猫咪健康已打卡 → 猫咪状态已变更 → 门店列表已查询 → 推荐请求已发起 → 推荐方案已生成 → 预约草稿已创建 → 桌位容量已锁定 → 预约已提交 → 预约已确认 → 预约确认通知已发送 → 候补已登记 → 候补已转正 → 预约已改期 → 预约已取消 → 顾客已到店 → 预约已核销 → 订单已创建 → 优惠券已校验 → 支付已发起 → 支付已成功 → 支付已失败 → 退款已申请 → 退款已完成 → 订单已接单 → 订单已完成 → 评价已提交 → 活动已创建 → 活动券已发放 → 运营指标已刷新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命令、聚合、策略、读模型识别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命令：注册会员、更新偏好、发布门店、配置桌位、提交预约、改期预约、取消预约、核销到店、创建订单、支付订单、申请退款、健康打卡、创建活动。</w:t>
            </w:r>
          </w:p>
          <w:p>
            <w:r>
              <w:t>聚合：Member、Store、TableSlot、Reservation、Order、Payment、CatProfile、Promotion、Coupon。</w:t>
            </w:r>
          </w:p>
          <w:p>
            <w:r>
              <w:t>策略：支付成功后绑定预约；猫咪异常后暂停推荐；候补转正后发送通知；活动发布后按分群发券。</w:t>
            </w:r>
          </w:p>
          <w:p>
            <w:r>
              <w:t>读模型：门店列表、预约队列、店员工作台、运营看板、会员画像。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限界上下文清单（≥ 6 个）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上下文名称</w:t>
            </w:r>
          </w:p>
        </w:tc>
        <w:tc>
          <w:tcPr>
            <w:tcW w:type="dxa" w:w="283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主要聚合</w:t>
            </w:r>
          </w:p>
        </w:tc>
        <w:tc>
          <w:tcPr>
            <w:tcW w:type="dxa" w:w="283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负责人</w:t>
            </w:r>
          </w:p>
        </w:tc>
      </w:tr>
      <w:tr>
        <w:tc>
          <w:tcPr>
            <w:tcW w:type="dxa" w:w="2436"/>
          </w:tcPr>
          <w:p>
            <w:r>
              <w:t>BC-1</w:t>
            </w:r>
          </w:p>
        </w:tc>
        <w:tc>
          <w:tcPr>
            <w:tcW w:type="dxa" w:w="2436"/>
          </w:tcPr>
          <w:p>
            <w:r>
              <w:t>会员上下文</w:t>
            </w:r>
          </w:p>
        </w:tc>
        <w:tc>
          <w:tcPr>
            <w:tcW w:type="dxa" w:w="2436"/>
          </w:tcPr>
          <w:p>
            <w:r>
              <w:t>Member / PrivacyConsent / Preference</w:t>
            </w:r>
          </w:p>
        </w:tc>
        <w:tc>
          <w:tcPr>
            <w:tcW w:type="dxa" w:w="2436"/>
          </w:tcPr>
          <w:p>
            <w:r>
              <w:t>戴正宇</w:t>
            </w:r>
          </w:p>
        </w:tc>
      </w:tr>
      <w:tr>
        <w:tc>
          <w:tcPr>
            <w:tcW w:type="dxa" w:w="2436"/>
          </w:tcPr>
          <w:p>
            <w:r>
              <w:t>BC-2</w:t>
            </w:r>
          </w:p>
        </w:tc>
        <w:tc>
          <w:tcPr>
            <w:tcW w:type="dxa" w:w="2436"/>
          </w:tcPr>
          <w:p>
            <w:r>
              <w:t>门店上下文</w:t>
            </w:r>
          </w:p>
        </w:tc>
        <w:tc>
          <w:tcPr>
            <w:tcW w:type="dxa" w:w="2436"/>
          </w:tcPr>
          <w:p>
            <w:r>
              <w:t>Store / TableSlot / BusinessHours</w:t>
            </w:r>
          </w:p>
        </w:tc>
        <w:tc>
          <w:tcPr>
            <w:tcW w:type="dxa" w:w="2436"/>
          </w:tcPr>
          <w:p>
            <w:r>
              <w:t>戴正宇</w:t>
            </w:r>
          </w:p>
        </w:tc>
      </w:tr>
      <w:tr>
        <w:tc>
          <w:tcPr>
            <w:tcW w:type="dxa" w:w="2436"/>
          </w:tcPr>
          <w:p>
            <w:r>
              <w:t>BC-3</w:t>
            </w:r>
          </w:p>
        </w:tc>
        <w:tc>
          <w:tcPr>
            <w:tcW w:type="dxa" w:w="2436"/>
          </w:tcPr>
          <w:p>
            <w:r>
              <w:t>预约上下文</w:t>
            </w:r>
          </w:p>
        </w:tc>
        <w:tc>
          <w:tcPr>
            <w:tcW w:type="dxa" w:w="2436"/>
          </w:tcPr>
          <w:p>
            <w:r>
              <w:t>Reservation / Waitlist / CapacityLock</w:t>
            </w:r>
          </w:p>
        </w:tc>
        <w:tc>
          <w:tcPr>
            <w:tcW w:type="dxa" w:w="2436"/>
          </w:tcPr>
          <w:p>
            <w:r>
              <w:t>戴正宇</w:t>
            </w:r>
          </w:p>
        </w:tc>
      </w:tr>
      <w:tr>
        <w:tc>
          <w:tcPr>
            <w:tcW w:type="dxa" w:w="2436"/>
          </w:tcPr>
          <w:p>
            <w:r>
              <w:t>BC-4</w:t>
            </w:r>
          </w:p>
        </w:tc>
        <w:tc>
          <w:tcPr>
            <w:tcW w:type="dxa" w:w="2436"/>
          </w:tcPr>
          <w:p>
            <w:r>
              <w:t>订单支付上下文</w:t>
            </w:r>
          </w:p>
        </w:tc>
        <w:tc>
          <w:tcPr>
            <w:tcW w:type="dxa" w:w="2436"/>
          </w:tcPr>
          <w:p>
            <w:r>
              <w:t>Order / Payment / Refund</w:t>
            </w:r>
          </w:p>
        </w:tc>
        <w:tc>
          <w:tcPr>
            <w:tcW w:type="dxa" w:w="2436"/>
          </w:tcPr>
          <w:p>
            <w:r>
              <w:t>戴正宇</w:t>
            </w:r>
          </w:p>
        </w:tc>
      </w:tr>
      <w:tr>
        <w:tc>
          <w:tcPr>
            <w:tcW w:type="dxa" w:w="2436"/>
          </w:tcPr>
          <w:p>
            <w:r>
              <w:t>BC-5</w:t>
            </w:r>
          </w:p>
        </w:tc>
        <w:tc>
          <w:tcPr>
            <w:tcW w:type="dxa" w:w="2436"/>
          </w:tcPr>
          <w:p>
            <w:r>
              <w:t>猫咪档案上下文</w:t>
            </w:r>
          </w:p>
        </w:tc>
        <w:tc>
          <w:tcPr>
            <w:tcW w:type="dxa" w:w="2436"/>
          </w:tcPr>
          <w:p>
            <w:r>
              <w:t>CatProfile / HealthCheckIn</w:t>
            </w:r>
          </w:p>
        </w:tc>
        <w:tc>
          <w:tcPr>
            <w:tcW w:type="dxa" w:w="2436"/>
          </w:tcPr>
          <w:p>
            <w:r>
              <w:t>戴正宇</w:t>
            </w:r>
          </w:p>
        </w:tc>
      </w:tr>
      <w:tr>
        <w:tc>
          <w:tcPr>
            <w:tcW w:type="dxa" w:w="2436"/>
          </w:tcPr>
          <w:p>
            <w:r>
              <w:t>BC-6</w:t>
            </w:r>
          </w:p>
        </w:tc>
        <w:tc>
          <w:tcPr>
            <w:tcW w:type="dxa" w:w="2436"/>
          </w:tcPr>
          <w:p>
            <w:r>
              <w:t>推荐上下文</w:t>
            </w:r>
          </w:p>
        </w:tc>
        <w:tc>
          <w:tcPr>
            <w:tcW w:type="dxa" w:w="2436"/>
          </w:tcPr>
          <w:p>
            <w:r>
              <w:t>RecommendationRequest / RecommendationResult</w:t>
            </w:r>
          </w:p>
        </w:tc>
        <w:tc>
          <w:tcPr>
            <w:tcW w:type="dxa" w:w="2436"/>
          </w:tcPr>
          <w:p>
            <w:r>
              <w:t>戴正宇</w:t>
            </w:r>
          </w:p>
        </w:tc>
      </w:tr>
      <w:tr>
        <w:tc>
          <w:tcPr>
            <w:tcW w:type="dxa" w:w="2436"/>
          </w:tcPr>
          <w:p>
            <w:r>
              <w:t>BC-7</w:t>
            </w:r>
          </w:p>
        </w:tc>
        <w:tc>
          <w:tcPr>
            <w:tcW w:type="dxa" w:w="2436"/>
          </w:tcPr>
          <w:p>
            <w:r>
              <w:t>通知上下文</w:t>
            </w:r>
          </w:p>
        </w:tc>
        <w:tc>
          <w:tcPr>
            <w:tcW w:type="dxa" w:w="2436"/>
          </w:tcPr>
          <w:p>
            <w:r>
              <w:t>Notification / Template / DeliveryLog</w:t>
            </w:r>
          </w:p>
        </w:tc>
        <w:tc>
          <w:tcPr>
            <w:tcW w:type="dxa" w:w="2436"/>
          </w:tcPr>
          <w:p>
            <w:r>
              <w:t>戴正宇</w:t>
            </w:r>
          </w:p>
        </w:tc>
      </w:tr>
      <w:tr>
        <w:tc>
          <w:tcPr>
            <w:tcW w:type="dxa" w:w="2436"/>
          </w:tcPr>
          <w:p>
            <w:r>
              <w:t>BC-8</w:t>
            </w:r>
          </w:p>
        </w:tc>
        <w:tc>
          <w:tcPr>
            <w:tcW w:type="dxa" w:w="2436"/>
          </w:tcPr>
          <w:p>
            <w:r>
              <w:t>运营分析上下文</w:t>
            </w:r>
          </w:p>
        </w:tc>
        <w:tc>
          <w:tcPr>
            <w:tcW w:type="dxa" w:w="2436"/>
          </w:tcPr>
          <w:p>
            <w:r>
              <w:t>MetricSnapshot / Campaign / Coupon</w:t>
            </w:r>
          </w:p>
        </w:tc>
        <w:tc>
          <w:tcPr>
            <w:tcW w:type="dxa" w:w="2436"/>
          </w:tcPr>
          <w:p>
            <w:r>
              <w:t>戴正宇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上下文划分依据：凡是需要独立生命周期、独立数据所有权、独立扩展或不同一致性模型的能力，划为单独限界上下文。预约、订单支付、会员是核心写模型；运营分析是 CQRS 读模型；推荐和通知作为支撑服务避免污染核心交易模型。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上下文映射图（Context Map）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上下文映射文字图：会员上下文 --Customer/Supplier--&gt; 预约上下文；门店上下文 --Customer/Supplier--&gt; 预约上下文；猫咪档案上下文 --Published Language--&gt; 推荐上下文；预约上下文 --Published Language/Event--&gt; 订单支付上下文；订单支付上下文 --ACL--&gt; 外部支付平台；预约/订单/会员/活动 --Event Stream--&gt; 运营分析上下文；通知上下文对其他上下文采用 Conformist 接收统一通知事件。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49240" cy="350672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2_context_map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5067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图2-2b 上下文映射图（Context Map）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6  关键聚合的不变式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核心不变式：Reservation 在同一门店、同一桌位、同一时段不能重复确认；CapacityLock 必须在超时或取消后释放；Order 支付成功后不能修改商品明细，只能退款或补单；Payment 回调按 paymentId 幂等处理；CatProfile 标记为不可互动时不能进入推荐结果；PrivacyConsent 关闭营销授权后活动投放不得发送营销通知。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