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60"/>
        <w:jc w:val="center"/>
      </w:pPr>
      <w:r>
        <w:rPr>
          <w:rFonts w:ascii="Microsoft YaHei" w:hAnsi="Microsoft YaHei" w:eastAsia="Microsoft YaHei"/>
          <w:b w:val="0"/>
          <w:color w:val="777777"/>
          <w:sz w:val="28"/>
        </w:rPr>
        <w:t>北京林业大学 · 信息学院</w:t>
      </w:r>
    </w:p>
    <w:p>
      <w:pPr>
        <w:spacing w:after="80"/>
        <w:jc w:val="center"/>
      </w:pPr>
      <w:r>
        <w:rPr>
          <w:rFonts w:ascii="Microsoft YaHei" w:hAnsi="Microsoft YaHei" w:eastAsia="Microsoft YaHei"/>
          <w:b/>
          <w:color w:val="1A7A3D"/>
          <w:sz w:val="32"/>
        </w:rPr>
        <w:t>《软件工程》课程</w:t>
      </w:r>
    </w:p>
    <w:p>
      <w:pPr>
        <w:spacing w:after="80"/>
        <w:jc w:val="center"/>
      </w:pPr>
      <w:r>
        <w:rPr>
          <w:rFonts w:ascii="Microsoft YaHei" w:hAnsi="Microsoft YaHei" w:eastAsia="Microsoft YaHei"/>
          <w:b/>
          <w:color w:val="1A7A3D"/>
          <w:sz w:val="56"/>
        </w:rPr>
        <w:t>测试计划与策略</w:t>
      </w:r>
    </w:p>
    <w:p>
      <w:pPr>
        <w:spacing w:after="80"/>
        <w:jc w:val="center"/>
      </w:pPr>
      <w:r>
        <w:rPr>
          <w:rFonts w:ascii="Microsoft YaHei" w:hAnsi="Microsoft YaHei" w:eastAsia="Microsoft YaHei"/>
          <w:b w:val="0"/>
          <w:color w:val="777777"/>
          <w:sz w:val="28"/>
        </w:rPr>
        <w:t>Deliverable Template</w:t>
      </w:r>
    </w:p>
    <w:p>
      <w:pPr>
        <w:spacing w:after="160"/>
        <w:jc w:val="center"/>
      </w:pPr>
      <w:r>
        <w:rPr>
          <w:rFonts w:ascii="Microsoft YaHei" w:hAnsi="Microsoft YaHei" w:eastAsia="Microsoft YaHei"/>
          <w:b/>
          <w:color w:val="2E9B55"/>
          <w:sz w:val="26"/>
        </w:rPr>
        <w:t>—— 案例：NekoCafé 猫咪主题餐饮预约平台 ——</w:t>
      </w:r>
    </w:p>
    <w:p/>
    <w:tbl>
      <w:tblPr>
        <w:tblW w:type="auto" w:w="0"/>
        <w:jc w:val="center"/>
        <w:tblLook w:firstColumn="1" w:firstRow="1" w:lastColumn="0" w:lastRow="0" w:noHBand="0" w:noVBand="1" w:val="04A0"/>
      </w:tblPr>
      <w:tblGrid>
        <w:gridCol w:w="4873"/>
        <w:gridCol w:w="4873"/>
      </w:tblGrid>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产出编号</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D4-1</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产出名称</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测试计划与策略</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所属实验</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实验四  软件质量工程与 AI 辅助代码审查</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案例项目</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NekoCafé 猫咪主题餐饮预约平台</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模板版本</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v1.0  ·  2026-05-06</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班级 / 学号 / 姓名</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r>
              <w:t>计算机23-2 / 231002703 / 戴正宇</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提交日期</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r>
              <w:t>2026-05-14</w:t>
            </w:r>
          </w:p>
        </w:tc>
      </w:tr>
    </w:tbl>
    <w:p/>
    <w:p>
      <w:r>
        <w:br w:type="page"/>
      </w:r>
    </w:p>
    <w:p>
      <w:pPr>
        <w:keepNext/>
        <w:spacing w:before="280" w:after="120"/>
        <w:pBdr>
          <w:bottom w:val="single" w:sz="8" w:space="4" w:color="1A7A3D"/>
        </w:pBdr>
      </w:pPr>
      <w:r>
        <w:rPr>
          <w:rFonts w:ascii="Microsoft YaHei" w:hAnsi="Microsoft YaHei" w:eastAsia="Microsoft YaHei"/>
          <w:b/>
          <w:color w:val="1A7A3D"/>
          <w:sz w:val="36"/>
        </w:rPr>
        <w:t>使用说明</w:t>
      </w:r>
    </w:p>
    <w:p>
      <w:pPr>
        <w:spacing w:after="80" w:before="0" w:line="336" w:lineRule="auto"/>
        <w:ind w:firstLine="340"/>
        <w:jc w:val="left"/>
      </w:pPr>
      <w:r>
        <w:rPr>
          <w:rFonts w:ascii="Microsoft YaHei" w:hAnsi="Microsoft YaHei" w:eastAsia="Microsoft YaHei"/>
          <w:b w:val="0"/>
          <w:color w:val="2B2B2B"/>
          <w:sz w:val="21"/>
        </w:rPr>
        <w:t>向 QA 总监证明你"知道要测什么、怎么测、靠什么数据说话、何时停止"。</w:t>
      </w:r>
    </w:p>
    <w:tbl>
      <w:tblPr>
        <w:tblW w:type="auto" w:w="0"/>
        <w:jc w:val="center"/>
        <w:tblLook w:firstColumn="1" w:firstRow="1" w:lastColumn="0" w:lastRow="0" w:noHBand="0" w:noVBand="1" w:val="04A0"/>
      </w:tblPr>
      <w:tblGrid>
        <w:gridCol w:w="9746"/>
      </w:tblGrid>
      <w:tr>
        <w:tc>
          <w:tcPr>
            <w:tcW w:type="dxa" w:w="9746"/>
            <w:shd w:val="clear" w:color="auto" w:fill="EAF4EC"/>
            <w:tcBorders>
              <w:top w:val="single" w:sz="8" w:space="0" w:color="B8D8C2"/>
              <w:left w:val="single" w:sz="8" w:space="0" w:color="B8D8C2"/>
              <w:bottom w:val="single" w:sz="8" w:space="0" w:color="B8D8C2"/>
              <w:right w:val="single" w:sz="8" w:space="0" w:color="B8D8C2"/>
            </w:tcBorders>
          </w:tcPr>
          <w:p>
            <w:pPr>
              <w:spacing w:before="0" w:after="60" w:line="276" w:lineRule="auto"/>
              <w:jc w:val="left"/>
            </w:pPr>
            <w:r/>
            <w:r>
              <w:t>填写记录：本文件依据实验四任务书、实验一需求清单、实验二架构拆分和实验三 CI/CD 交付物编写，保留原模板章节结构。</w:t>
            </w:r>
          </w:p>
          <w:p>
            <w:pPr>
              <w:spacing w:before="0" w:after="60" w:line="276" w:lineRule="auto"/>
            </w:pPr>
            <w:r>
              <w:t>重点说明 NekoCafé 在发布前需要验证的功能主链路、非功能质量门禁、测试数据治理、质量度量与退出准则。</w:t>
            </w:r>
          </w:p>
          <w:p>
            <w:pPr>
              <w:spacing w:before="0" w:after="60" w:line="276" w:lineRule="auto"/>
            </w:pPr>
            <w:r>
              <w:t>本文中的量化指标与 D4-3 自动化测试报告、D4-4 非功能测试报告和 D4-6 缺陷台账互相引用，避免只写计划而没有证据支撑。</w:t>
            </w:r>
          </w:p>
        </w:tc>
      </w:tr>
    </w:tbl>
    <w:p/>
    <w:p>
      <w:pPr>
        <w:keepNext/>
        <w:spacing w:before="280" w:after="120"/>
        <w:pBdr>
          <w:bottom w:val="single" w:sz="8" w:space="4" w:color="1A7A3D"/>
        </w:pBdr>
      </w:pPr>
      <w:r>
        <w:rPr>
          <w:rFonts w:ascii="Microsoft YaHei" w:hAnsi="Microsoft YaHei" w:eastAsia="Microsoft YaHei"/>
          <w:b/>
          <w:color w:val="1A7A3D"/>
          <w:sz w:val="36"/>
        </w:rPr>
        <w:t>1  概述</w:t>
      </w:r>
    </w:p>
    <w:p>
      <w:pPr>
        <w:keepNext/>
        <w:spacing w:before="200" w:after="120"/>
        <w:pBdr>
          <w:bottom w:val="single" w:sz="4" w:space="4" w:color="4DB872"/>
        </w:pBdr>
      </w:pPr>
      <w:r>
        <w:rPr>
          <w:rFonts w:ascii="Microsoft YaHei" w:hAnsi="Microsoft YaHei" w:eastAsia="Microsoft YaHei"/>
          <w:b/>
          <w:color w:val="1A7A3D"/>
          <w:sz w:val="30"/>
        </w:rPr>
        <w:t>1.1  目的与范围</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测试金字塔预算（实验四执行版）</w:t>
            </w:r>
          </w:p>
          <w:p>
            <w:r>
              <w:t>E2E：3 条核心旅程，CI 中每日或手动触发，目标 &lt; 8 分钟。</w:t>
            </w:r>
          </w:p>
          <w:p>
            <w:r>
              <w:t>集成：12 条，覆盖预约、会员、推荐、订单、支付与后台调度，目标 &lt; 4 分钟。</w:t>
            </w:r>
          </w:p>
          <w:p>
            <w:r>
              <w:t>契约：3 对消费者-提供者，覆盖预约 Web、会员 Web、店员后台。</w:t>
            </w:r>
          </w:p>
          <w:p>
            <w:r>
              <w:t>属性/单元：单元 30+ 条、属性测试 5 组，提交级执行，目标 &lt; 90 秒。</w:t>
            </w:r>
          </w:p>
          <w:p>
            <w:r>
              <w:t>静态检查：ruff/eslint、AI Review、Secrets 扫描和依赖扫描作为测试奖杯底座。</w:t>
            </w:r>
          </w:p>
          <w:p>
            <w:pPr>
              <w:spacing w:before="0" w:after="0"/>
            </w:pPr>
          </w:p>
          <w:p>
            <w:pPr>
              <w:jc w:val="center"/>
            </w:pPr>
            <w:r>
              <w:drawing>
                <wp:inline xmlns:a="http://schemas.openxmlformats.org/drawingml/2006/main" xmlns:pic="http://schemas.openxmlformats.org/drawingml/2006/picture">
                  <wp:extent cx="4983480" cy="295894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983480" cy="2958941"/>
                          </a:xfrm>
                          <a:prstGeom prst="rect"/>
                        </pic:spPr>
                      </pic:pic>
                    </a:graphicData>
                  </a:graphic>
                </wp:inline>
              </w:drawing>
            </w:r>
          </w:p>
          <w:p>
            <w:pPr>
              <w:jc w:val="center"/>
            </w:pPr>
            <w:r>
              <w:rPr>
                <w:rFonts w:ascii="Microsoft YaHei" w:hAnsi="Microsoft YaHei" w:eastAsia="Microsoft YaHei"/>
                <w:i w:val="0"/>
              </w:rPr>
              <w:t>图4-1 测试金字塔与质量门禁</w:t>
            </w:r>
          </w:p>
        </w:tc>
      </w:tr>
    </w:tbl>
    <w:p/>
    <w:p>
      <w:pPr>
        <w:keepNext/>
        <w:spacing w:before="200" w:after="120"/>
        <w:pBdr>
          <w:bottom w:val="single" w:sz="4" w:space="4" w:color="4DB872"/>
        </w:pBdr>
      </w:pPr>
      <w:r>
        <w:rPr>
          <w:rFonts w:ascii="Microsoft YaHei" w:hAnsi="Microsoft YaHei" w:eastAsia="Microsoft YaHei"/>
          <w:b/>
          <w:color w:val="1A7A3D"/>
          <w:sz w:val="30"/>
        </w:rPr>
        <w:t>1.2  与前序实验的衔接</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rPr>
                <w:b/>
              </w:rPr>
              <w:t>测试对象：</w:t>
            </w:r>
            <w:r>
              <w:t>本计划面向实验三代码仓库中的 NekoCafé 猫咪主题餐饮预约平台，核心对象包括预约服务、会员服务、门店/桌位资源、支付适配、通知链路、后台管理与 CI/CD 质量门禁配置。</w:t>
            </w:r>
          </w:p>
          <w:p>
            <w:pPr>
              <w:spacing w:before="0" w:after="60" w:line="276" w:lineRule="auto"/>
            </w:pPr>
            <w:r>
              <w:rPr>
                <w:b/>
              </w:rPr>
              <w:t>覆盖范围：</w:t>
            </w:r>
            <w:r>
              <w:t>功能测试覆盖 FR-001 至 FR-020 的主流程、异常流程和边界条件；非功能测试覆盖性能、安全、可访问性、可靠性、兼容性、可维护性和可移植性；质量闭环覆盖 AI 代码审查、缺陷台账、质量度量与回归复测。</w:t>
            </w:r>
          </w:p>
          <w:p>
            <w:pPr>
              <w:spacing w:before="0" w:after="60" w:line="276" w:lineRule="auto"/>
            </w:pPr>
            <w:r>
              <w:rPr>
                <w:b/>
              </w:rPr>
              <w:t>不在范围：</w:t>
            </w:r>
            <w:r>
              <w:t>真实第三方支付扣款、真实短信发送、生产用户数据写入和线上高风险破坏性演练不纳入本次实验执行范围，均以沙箱、Mock 或只读探针替代。</w:t>
            </w:r>
          </w:p>
          <w:p>
            <w:pPr>
              <w:spacing w:before="0" w:after="60" w:line="276" w:lineRule="auto"/>
            </w:pPr>
            <w:r>
              <w:rPr>
                <w:b/>
              </w:rPr>
              <w:t>交付证据：</w:t>
            </w:r>
            <w:r>
              <w:t>D4-2 提供可追溯测试用例，D4-3 提供自动化执行报告，D4-4 提供非功能测试结果，D4-5/D4-6/D4-7 提供评审、缺陷与质量度量证据。</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rPr>
                <w:b/>
              </w:rPr>
              <w:t>实验一输入：</w:t>
            </w:r>
            <w:r>
              <w:t>以需求获取、SRS、用例模型和 RTM 为测试来源，所有功能用例必须能追溯到明确的 FR 编号，P0/P1 需求优先进入自动化回归集合。</w:t>
            </w:r>
          </w:p>
          <w:p>
            <w:pPr>
              <w:spacing w:before="0" w:after="60" w:line="276" w:lineRule="auto"/>
            </w:pPr>
            <w:r>
              <w:rPr>
                <w:b/>
              </w:rPr>
              <w:t>实验二输入：</w:t>
            </w:r>
            <w:r>
              <w:t>以微服务拆分、DDD 上下文映射、C4 容器图和 ADR 为测试边界，服务间字段兼容性通过契约测试约束，跨上下文流程通过集成测试验证。</w:t>
            </w:r>
          </w:p>
          <w:p>
            <w:pPr>
              <w:spacing w:before="0" w:after="60" w:line="276" w:lineRule="auto"/>
            </w:pPr>
            <w:r>
              <w:rPr>
                <w:b/>
              </w:rPr>
              <w:t>实验三输入：</w:t>
            </w:r>
            <w:r>
              <w:t>以 Dockerfile、CI/CD 工作流、镜像扫描、部署与可观测性配置作为质量门禁落点，确保测试不仅能在本机跑通，也能进入流水线并形成可审计结果。</w:t>
            </w:r>
          </w:p>
          <w:p>
            <w:pPr>
              <w:spacing w:before="0" w:after="60" w:line="276" w:lineRule="auto"/>
            </w:pPr>
            <w:r>
              <w:rPr>
                <w:b/>
              </w:rPr>
              <w:t>本实验闭环：</w:t>
            </w:r>
            <w:r>
              <w:t>将“橘猫被识别成橘子套餐”等缺陷转化为属性测试、语义回归用例和 AI Review 检查项，形成需求、代码、测试、缺陷、改进措施之间的闭环。</w:t>
            </w:r>
          </w:p>
        </w:tc>
      </w:tr>
    </w:tbl>
    <w:p/>
    <w:p>
      <w:pPr>
        <w:keepNext/>
        <w:spacing w:before="280" w:after="120"/>
        <w:pBdr>
          <w:bottom w:val="single" w:sz="8" w:space="4" w:color="1A7A3D"/>
        </w:pBdr>
      </w:pPr>
      <w:r>
        <w:rPr>
          <w:rFonts w:ascii="Microsoft YaHei" w:hAnsi="Microsoft YaHei" w:eastAsia="Microsoft YaHei"/>
          <w:b/>
          <w:color w:val="1A7A3D"/>
          <w:sz w:val="36"/>
        </w:rPr>
        <w:t>2  质量目标</w:t>
      </w:r>
    </w:p>
    <w:p>
      <w:pPr>
        <w:keepNext/>
        <w:spacing w:before="200" w:after="120"/>
        <w:pBdr>
          <w:bottom w:val="single" w:sz="4" w:space="4" w:color="4DB872"/>
        </w:pBdr>
      </w:pPr>
      <w:r>
        <w:rPr>
          <w:rFonts w:ascii="Microsoft YaHei" w:hAnsi="Microsoft YaHei" w:eastAsia="Microsoft YaHei"/>
          <w:b/>
          <w:color w:val="1A7A3D"/>
          <w:sz w:val="30"/>
        </w:rPr>
        <w:t>2.1  ISO/IEC 25010 维度选择与目标值</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t>ISO/IEC 25010 质量目标如下：</w:t>
            </w:r>
          </w:p>
          <w:p>
            <w:pPr>
              <w:spacing w:before="0" w:after="60" w:line="276" w:lineRule="auto"/>
            </w:pPr>
            <w:r>
              <w:t>1. 功能适合性：P0/P1 需求 100% 建立测试设计，预约创建、取消、支付、通知、后台接单等关键路径必须全部通过。</w:t>
            </w:r>
          </w:p>
          <w:p>
            <w:pPr>
              <w:spacing w:before="0" w:after="60" w:line="276" w:lineRule="auto"/>
            </w:pPr>
            <w:r>
              <w:t>2. 性能效率：预约创建接口 P95 延迟 ≤ 350ms，错误率 &lt; 0.5%，页面加载时间 &lt; 2s，高峰流量下系统不得出现持续 5xx。</w:t>
            </w:r>
          </w:p>
          <w:p>
            <w:pPr>
              <w:spacing w:before="0" w:after="60" w:line="276" w:lineRule="auto"/>
            </w:pPr>
            <w:r>
              <w:t>3. 可靠性：健康检查与就绪检查可区分依赖故障，幂等键防止重复预约，失败发布必须能在 10 分钟内回滚到上一稳定版本。</w:t>
            </w:r>
          </w:p>
          <w:p>
            <w:pPr>
              <w:spacing w:before="0" w:after="60" w:line="276" w:lineRule="auto"/>
            </w:pPr>
            <w:r>
              <w:t>4. 安全性：High/Critical 漏洞为 0；手机号、邮箱、地址、支付流水等敏感字段在响应、日志、截图中均需脱敏或屏蔽。</w:t>
            </w:r>
          </w:p>
          <w:p>
            <w:pPr>
              <w:spacing w:before="0" w:after="60" w:line="276" w:lineRule="auto"/>
            </w:pPr>
            <w:r>
              <w:t>5. 易用性与可访问性：预约表单、会员中心、后台看板的 Lighthouse/axe 可访问性评分目标 ≥ 90，键盘焦点顺序清晰，表单具备 label。</w:t>
            </w:r>
          </w:p>
          <w:p>
            <w:pPr>
              <w:spacing w:before="0" w:after="60" w:line="276" w:lineRule="auto"/>
            </w:pPr>
            <w:r>
              <w:t>6. 可维护性：新增核心函数圈复杂度 ≤ 10，重复率 &lt; 3%，AI Review 中的“必须修复”项需有人工裁决和回归证据。</w:t>
            </w:r>
          </w:p>
          <w:p>
            <w:pPr>
              <w:spacing w:before="0" w:after="60" w:line="276" w:lineRule="auto"/>
            </w:pPr>
            <w:r>
              <w:t>7. 兼容性与可移植性：API 契约字段保持向后兼容，Docker/Compose/Helm 配置在 local、dev、staging 环境具备可复现启动路径。</w:t>
            </w:r>
          </w:p>
        </w:tc>
      </w:tr>
    </w:tbl>
    <w:p/>
    <w:p>
      <w:pPr>
        <w:keepNext/>
        <w:spacing w:before="200" w:after="120"/>
        <w:pBdr>
          <w:bottom w:val="single" w:sz="4" w:space="4" w:color="4DB872"/>
        </w:pBdr>
      </w:pPr>
      <w:r>
        <w:rPr>
          <w:rFonts w:ascii="Microsoft YaHei" w:hAnsi="Microsoft YaHei" w:eastAsia="Microsoft YaHei"/>
          <w:b/>
          <w:color w:val="1A7A3D"/>
          <w:sz w:val="30"/>
        </w:rPr>
        <w:t>2.2  覆盖率与变异分数目标</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rPr>
                <w:b/>
              </w:rPr>
              <w:t>量化口径：</w:t>
            </w:r>
            <w:r>
              <w:t>本轮以 D4-3 自动化报告为准，测试总数 38，失败/错误数 0，行覆盖率 72.5%，分支覆盖率 70.0%，变异分数 88.9%。</w:t>
            </w:r>
          </w:p>
          <w:p>
            <w:pPr>
              <w:spacing w:before="0" w:after="60" w:line="276" w:lineRule="auto"/>
            </w:pPr>
            <w:r>
              <w:t>覆盖率阈值：行覆盖率不得低于 70%，分支覆盖率不得低于 60%；核心预约、会员、支付、通知、隐私脱敏模块必须覆盖正常、异常和边界路径。</w:t>
            </w:r>
          </w:p>
          <w:p>
            <w:pPr>
              <w:spacing w:before="0" w:after="60" w:line="276" w:lineRule="auto"/>
            </w:pPr>
            <w:r>
              <w:t>变异测试阈值：变异分数不得低于 60%，存活变异体必须登记原因；若属于等价逻辑或测试工具限制，应在报告中说明，不得直接忽略。</w:t>
            </w:r>
          </w:p>
          <w:p>
            <w:pPr>
              <w:spacing w:before="0" w:after="60" w:line="276" w:lineRule="auto"/>
            </w:pPr>
            <w:r>
              <w:t>缺陷指标：缺陷逃逸率目标 ≤ 8%，P0 缺陷关闭率 100%，平均修复时长目标 ≤ 10 小时；回归失败必须关联到 D4-6 缺陷台账。</w:t>
            </w:r>
          </w:p>
          <w:p>
            <w:pPr>
              <w:spacing w:before="0" w:after="60" w:line="276" w:lineRule="auto"/>
            </w:pPr>
            <w:r>
              <w:t>追溯指标：D4-2 中每条功能测试用例需绑定 FR 编号，D4-8 RTM 用于检查是否存在需求无用例、用例无需求或关键缺陷无回归项。</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t>质量门禁分为提交门禁、PR 门禁和发布门禁三层：</w:t>
            </w:r>
          </w:p>
          <w:p>
            <w:pPr>
              <w:spacing w:before="0" w:after="60" w:line="276" w:lineRule="auto"/>
            </w:pPr>
            <w:r>
              <w:t>1. 提交门禁：静态检查、单元测试、属性测试和轻量变异样本必须通过，防止低级缺陷进入评审阶段。</w:t>
            </w:r>
          </w:p>
          <w:p>
            <w:pPr>
              <w:spacing w:before="0" w:after="60" w:line="276" w:lineRule="auto"/>
            </w:pPr>
            <w:r>
              <w:t>2. PR 门禁：契约测试和核心集成测试必须通过；若 API 字段、状态码或错误结构发生破坏性变化，必须补充 ADR 与迁移说明。</w:t>
            </w:r>
          </w:p>
          <w:p>
            <w:pPr>
              <w:spacing w:before="0" w:after="60" w:line="276" w:lineRule="auto"/>
            </w:pPr>
            <w:r>
              <w:t>3. 发布门禁：三条 E2E 旅程、k6 smoke、ZAP baseline、可访问性检查和 AI Review 必须完成，P0/P1 未关闭缺陷不得发布。</w:t>
            </w:r>
          </w:p>
          <w:p>
            <w:pPr>
              <w:spacing w:before="0" w:after="60" w:line="276" w:lineRule="auto"/>
            </w:pPr>
            <w:r>
              <w:t>4. 例外机制：因外部工具或本机环境限制无法执行的测试，必须给出命令、阈值、预期结果和补偿验证方式，并在 D4-4 或 D4-6 中留痕。</w:t>
            </w:r>
          </w:p>
        </w:tc>
      </w:tr>
    </w:tbl>
    <w:p/>
    <w:p>
      <w:pPr>
        <w:keepNext/>
        <w:spacing w:before="280" w:after="120"/>
        <w:pBdr>
          <w:bottom w:val="single" w:sz="8" w:space="4" w:color="1A7A3D"/>
        </w:pBdr>
      </w:pPr>
      <w:r>
        <w:rPr>
          <w:rFonts w:ascii="Microsoft YaHei" w:hAnsi="Microsoft YaHei" w:eastAsia="Microsoft YaHei"/>
          <w:b/>
          <w:color w:val="1A7A3D"/>
          <w:sz w:val="36"/>
        </w:rPr>
        <w:t>3  测试金字塔与预算</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t>测试设计预算：D4-2 功能测试设计 80 条，覆盖 20 个功能需求；非功能测试设计 18 条，覆盖性能、安全、可访问性、可靠性、兼容性、可维护性、可观测性与可移植性。</w:t>
            </w:r>
          </w:p>
          <w:p>
            <w:pPr>
              <w:spacing w:before="0" w:after="60" w:line="276" w:lineRule="auto"/>
            </w:pPr>
            <w:r>
              <w:t>自动化预算：D4-3 自动化回归样本 38 条，作为提交级和 PR 级主要证据；其中包含单元、属性、契约、集成和 E2E 代表性测试。</w:t>
            </w:r>
          </w:p>
          <w:p>
            <w:pPr>
              <w:spacing w:before="0" w:after="60" w:line="276" w:lineRule="auto"/>
            </w:pPr>
            <w:r>
              <w:t>跑时预算：提交级测试目标 &lt; 90 秒，PR 级测试目标 &lt; 5 分钟，E2E 与非功能 smoke 可在发布前或 nightly 执行，避免每次提交都被慢测试拖住。</w:t>
            </w:r>
          </w:p>
          <w:p>
            <w:pPr>
              <w:spacing w:before="0" w:after="60" w:line="276" w:lineRule="auto"/>
            </w:pPr>
            <w:r>
              <w:t>层级取舍：遵循测试金字塔，底层以单元/属性测试快速定位缺陷，中层以契约/集成测试约束服务边界，上层以 E2E 验证真实用户旅程，横向质量门禁负责性能、安全和可访问性。</w:t>
            </w:r>
          </w:p>
        </w:tc>
      </w:tr>
    </w:tbl>
    <w:p/>
    <w:p>
      <w:pPr>
        <w:keepNext/>
        <w:spacing w:before="280" w:after="120"/>
        <w:pBdr>
          <w:bottom w:val="single" w:sz="8" w:space="4" w:color="1A7A3D"/>
        </w:pBdr>
      </w:pPr>
      <w:r>
        <w:rPr>
          <w:rFonts w:ascii="Microsoft YaHei" w:hAnsi="Microsoft YaHei" w:eastAsia="Microsoft YaHei"/>
          <w:b/>
          <w:color w:val="1A7A3D"/>
          <w:sz w:val="36"/>
        </w:rPr>
        <w:t>4  测试类型与工具选型</w:t>
      </w:r>
    </w:p>
    <w:tbl>
      <w:tblPr>
        <w:tblW w:type="auto" w:w="0"/>
        <w:jc w:val="center"/>
        <w:tblLook w:firstColumn="1" w:firstRow="1" w:lastColumn="0" w:lastRow="0" w:noHBand="0" w:noVBand="1" w:val="04A0"/>
      </w:tblPr>
      <w:tblGrid>
        <w:gridCol w:w="3249"/>
        <w:gridCol w:w="3249"/>
        <w:gridCol w:w="3249"/>
      </w:tblGrid>
      <w:tr>
        <w:tc>
          <w:tcPr>
            <w:tcW w:type="dxa" w:w="1134"/>
            <w:shd w:val="clear" w:color="auto" w:fill="1A7A3D"/>
            <w:tcBorders>
              <w:top w:val="single" w:sz="4" w:space="0" w:color="1A7A3D"/>
              <w:left w:val="single" w:sz="4" w:space="0" w:color="1A7A3D"/>
              <w:bottom w:val="single" w:sz="4" w:space="0" w:color="1A7A3D"/>
              <w:right w:val="single" w:sz="4" w:space="0" w:color="1A7A3D"/>
            </w:tcBorders>
            <w:vAlign w:val="center"/>
          </w:tcPr>
          <w:p>
            <w:r>
              <w:t>类型</w:t>
            </w:r>
          </w:p>
        </w:tc>
        <w:tc>
          <w:tcPr>
            <w:tcW w:type="dxa" w:w="3402"/>
            <w:shd w:val="clear" w:color="auto" w:fill="1A7A3D"/>
            <w:tcBorders>
              <w:top w:val="single" w:sz="4" w:space="0" w:color="1A7A3D"/>
              <w:left w:val="single" w:sz="4" w:space="0" w:color="1A7A3D"/>
              <w:bottom w:val="single" w:sz="4" w:space="0" w:color="1A7A3D"/>
              <w:right w:val="single" w:sz="4" w:space="0" w:color="1A7A3D"/>
            </w:tcBorders>
            <w:vAlign w:val="center"/>
          </w:tcPr>
          <w:p>
            <w:r>
              <w:t>工具</w:t>
            </w:r>
          </w:p>
        </w:tc>
        <w:tc>
          <w:tcPr>
            <w:tcW w:type="dxa" w:w="4535"/>
            <w:shd w:val="clear" w:color="auto" w:fill="1A7A3D"/>
            <w:tcBorders>
              <w:top w:val="single" w:sz="4" w:space="0" w:color="1A7A3D"/>
              <w:left w:val="single" w:sz="4" w:space="0" w:color="1A7A3D"/>
              <w:bottom w:val="single" w:sz="4" w:space="0" w:color="1A7A3D"/>
              <w:right w:val="single" w:sz="4" w:space="0" w:color="1A7A3D"/>
            </w:tcBorders>
            <w:vAlign w:val="center"/>
          </w:tcPr>
          <w:p>
            <w:r>
              <w:t>说明</w:t>
            </w:r>
          </w:p>
        </w:tc>
      </w:tr>
      <w:tr>
        <w:tc>
          <w:tcPr>
            <w:tcW w:type="dxa" w:w="3249"/>
          </w:tcPr>
          <w:p>
            <w:r>
              <w:t>静态检查</w:t>
            </w:r>
          </w:p>
        </w:tc>
        <w:tc>
          <w:tcPr>
            <w:tcW w:type="dxa" w:w="3249"/>
          </w:tcPr>
          <w:p>
            <w:r>
              <w:t>ruff / eslint / secrets scan</w:t>
            </w:r>
          </w:p>
        </w:tc>
        <w:tc>
          <w:tcPr>
            <w:tcW w:type="dxa" w:w="3249"/>
          </w:tcPr>
          <w:p>
            <w:r>
              <w:t>提交级底座，检查格式、复杂度、潜在空值、明文密钥和基础代码异味。</w:t>
            </w:r>
          </w:p>
        </w:tc>
      </w:tr>
      <w:tr>
        <w:tc>
          <w:tcPr>
            <w:tcW w:type="dxa" w:w="3249"/>
          </w:tcPr>
          <w:p>
            <w:r>
              <w:t>单元测试</w:t>
            </w:r>
          </w:p>
        </w:tc>
        <w:tc>
          <w:tcPr>
            <w:tcW w:type="dxa" w:w="3249"/>
          </w:tcPr>
          <w:p>
            <w:r>
              <w:t>unittest / pytest 风格</w:t>
            </w:r>
          </w:p>
        </w:tc>
        <w:tc>
          <w:tcPr>
            <w:tcW w:type="dxa" w:w="3249"/>
          </w:tcPr>
          <w:p>
            <w:r>
              <w:t>验证纯函数、边界值、异常分支和隐私脱敏逻辑，要求快速、独立、可重复。</w:t>
            </w:r>
          </w:p>
        </w:tc>
      </w:tr>
      <w:tr>
        <w:tc>
          <w:tcPr>
            <w:tcW w:type="dxa" w:w="3249"/>
          </w:tcPr>
          <w:p>
            <w:r>
              <w:t>属性测试</w:t>
            </w:r>
          </w:p>
        </w:tc>
        <w:tc>
          <w:tcPr>
            <w:tcW w:type="dxa" w:w="3249"/>
          </w:tcPr>
          <w:p>
            <w:r>
              <w:t>确定性随机样本 / Hypothesis 迁移入口</w:t>
            </w:r>
          </w:p>
        </w:tc>
        <w:tc>
          <w:tcPr>
            <w:tcW w:type="dxa" w:w="3249"/>
          </w:tcPr>
          <w:p>
            <w:r>
              <w:t>针对手机号脱敏、预约时间窗、容量单调性、押金非负等不变量扩大输入空间。</w:t>
            </w:r>
          </w:p>
        </w:tc>
      </w:tr>
      <w:tr>
        <w:tc>
          <w:tcPr>
            <w:tcW w:type="dxa" w:w="3249"/>
          </w:tcPr>
          <w:p>
            <w:r>
              <w:t>契约测试</w:t>
            </w:r>
          </w:p>
        </w:tc>
        <w:tc>
          <w:tcPr>
            <w:tcW w:type="dxa" w:w="3249"/>
          </w:tcPr>
          <w:p>
            <w:r>
              <w:t>JSON Contract / Pact 迁移入口</w:t>
            </w:r>
          </w:p>
        </w:tc>
        <w:tc>
          <w:tcPr>
            <w:tcW w:type="dxa" w:w="3249"/>
          </w:tcPr>
          <w:p>
            <w:r>
              <w:t>验证 Web 前端、后台控制台与服务提供者之间的字段、状态码和错误结构兼容。</w:t>
            </w:r>
          </w:p>
        </w:tc>
      </w:tr>
      <w:tr>
        <w:tc>
          <w:tcPr>
            <w:tcW w:type="dxa" w:w="3249"/>
          </w:tcPr>
          <w:p>
            <w:r>
              <w:t>集成测试</w:t>
            </w:r>
          </w:p>
        </w:tc>
        <w:tc>
          <w:tcPr>
            <w:tcW w:type="dxa" w:w="3249"/>
          </w:tcPr>
          <w:p>
            <w:r>
              <w:t>本地服务对象 / Docker Compose</w:t>
            </w:r>
          </w:p>
        </w:tc>
        <w:tc>
          <w:tcPr>
            <w:tcW w:type="dxa" w:w="3249"/>
          </w:tcPr>
          <w:p>
            <w:r>
              <w:t>验证预约、支付、通知、库存、审计等跨模块链路，重点关注状态迁移和幂等。</w:t>
            </w:r>
          </w:p>
        </w:tc>
      </w:tr>
      <w:tr>
        <w:tc>
          <w:tcPr>
            <w:tcW w:type="dxa" w:w="3249"/>
          </w:tcPr>
          <w:p>
            <w:r>
              <w:t>E2E 测试</w:t>
            </w:r>
          </w:p>
        </w:tc>
        <w:tc>
          <w:tcPr>
            <w:tcW w:type="dxa" w:w="3249"/>
          </w:tcPr>
          <w:p>
            <w:r>
              <w:t>Playwright / Python 旅程校验</w:t>
            </w:r>
          </w:p>
        </w:tc>
        <w:tc>
          <w:tcPr>
            <w:tcW w:type="dxa" w:w="3249"/>
          </w:tcPr>
          <w:p>
            <w:r>
              <w:t>覆盖新用户预约、老会员下单评价、店员接单调度三条核心旅程。</w:t>
            </w:r>
          </w:p>
        </w:tc>
      </w:tr>
      <w:tr>
        <w:tc>
          <w:tcPr>
            <w:tcW w:type="dxa" w:w="3249"/>
          </w:tcPr>
          <w:p>
            <w:r>
              <w:t>变异测试</w:t>
            </w:r>
          </w:p>
        </w:tc>
        <w:tc>
          <w:tcPr>
            <w:tcW w:type="dxa" w:w="3249"/>
          </w:tcPr>
          <w:p>
            <w:r>
              <w:t>轻量 mutation_check / Mutmut 迁移入口</w:t>
            </w:r>
          </w:p>
        </w:tc>
        <w:tc>
          <w:tcPr>
            <w:tcW w:type="dxa" w:w="3249"/>
          </w:tcPr>
          <w:p>
            <w:r>
              <w:t>验证测试是否能杀死关键逻辑变异，避免只追求覆盖率数字。</w:t>
            </w:r>
          </w:p>
        </w:tc>
      </w:tr>
      <w:tr>
        <w:tc>
          <w:tcPr>
            <w:tcW w:type="dxa" w:w="3249"/>
          </w:tcPr>
          <w:p>
            <w:r>
              <w:t>性能测试</w:t>
            </w:r>
          </w:p>
        </w:tc>
        <w:tc>
          <w:tcPr>
            <w:tcW w:type="dxa" w:w="3249"/>
          </w:tcPr>
          <w:p>
            <w:r>
              <w:t>k6 / JMeter</w:t>
            </w:r>
          </w:p>
        </w:tc>
        <w:tc>
          <w:tcPr>
            <w:tcW w:type="dxa" w:w="3249"/>
          </w:tcPr>
          <w:p>
            <w:r>
              <w:t>压测预约创建、门店列表和后台看板，输出 RT、TPS、错误率曲线和瓶颈判断。</w:t>
            </w:r>
          </w:p>
        </w:tc>
      </w:tr>
      <w:tr>
        <w:tc>
          <w:tcPr>
            <w:tcW w:type="dxa" w:w="3249"/>
          </w:tcPr>
          <w:p>
            <w:r>
              <w:t>安全测试</w:t>
            </w:r>
          </w:p>
        </w:tc>
        <w:tc>
          <w:tcPr>
            <w:tcW w:type="dxa" w:w="3249"/>
          </w:tcPr>
          <w:p>
            <w:r>
              <w:t>OWASP ZAP / 日志抽样</w:t>
            </w:r>
          </w:p>
        </w:tc>
        <w:tc>
          <w:tcPr>
            <w:tcW w:type="dxa" w:w="3249"/>
          </w:tcPr>
          <w:p>
            <w:r>
              <w:t>执行 Baseline 扫描、敏感字段脱敏检查、XSS 输入转义和安全响应头检查。</w:t>
            </w:r>
          </w:p>
        </w:tc>
      </w:tr>
      <w:tr>
        <w:tc>
          <w:tcPr>
            <w:tcW w:type="dxa" w:w="3249"/>
          </w:tcPr>
          <w:p>
            <w:r>
              <w:t>可访问性</w:t>
            </w:r>
          </w:p>
        </w:tc>
        <w:tc>
          <w:tcPr>
            <w:tcW w:type="dxa" w:w="3249"/>
          </w:tcPr>
          <w:p>
            <w:r>
              <w:t>Lighthouse / axe</w:t>
            </w:r>
          </w:p>
        </w:tc>
        <w:tc>
          <w:tcPr>
            <w:tcW w:type="dxa" w:w="3249"/>
          </w:tcPr>
          <w:p>
            <w:r>
              <w:t>检查表单 label、图片 alt、键盘焦点、颜色对比度和严重可访问性问题。</w:t>
            </w:r>
          </w:p>
        </w:tc>
      </w:tr>
      <w:tr>
        <w:tc>
          <w:tcPr>
            <w:tcW w:type="dxa" w:w="3249"/>
          </w:tcPr>
          <w:p>
            <w:r>
              <w:t>AI 代码审查</w:t>
            </w:r>
          </w:p>
        </w:tc>
        <w:tc>
          <w:tcPr>
            <w:tcW w:type="dxa" w:w="3249"/>
          </w:tcPr>
          <w:p>
            <w:r>
              <w:t>Codex / 多角色提示词</w:t>
            </w:r>
          </w:p>
        </w:tc>
        <w:tc>
          <w:tcPr>
            <w:tcW w:type="dxa" w:w="3249"/>
          </w:tcPr>
          <w:p>
            <w:r>
              <w:t>让 AI 扮演架构师、安全专家、性能工程师，所有建议需人工裁决。</w:t>
            </w:r>
          </w:p>
        </w:tc>
      </w:tr>
      <w:tr>
        <w:tc>
          <w:tcPr>
            <w:tcW w:type="dxa" w:w="3249"/>
          </w:tcPr>
          <w:p>
            <w:r>
              <w:t>质量度量</w:t>
            </w:r>
          </w:p>
        </w:tc>
        <w:tc>
          <w:tcPr>
            <w:tcW w:type="dxa" w:w="3249"/>
          </w:tcPr>
          <w:p>
            <w:r>
              <w:t>HTML 报告 / Issue 台账 / 看板</w:t>
            </w:r>
          </w:p>
        </w:tc>
        <w:tc>
          <w:tcPr>
            <w:tcW w:type="dxa" w:w="3249"/>
          </w:tcPr>
          <w:p>
            <w:r>
              <w:t>汇总覆盖率、变异分数、缺陷关闭率、缺陷逃逸率和质量门禁状态。</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rPr>
                <w:b/>
              </w:rPr>
              <w:t>工具原则：</w:t>
            </w:r>
            <w:r>
              <w:t>优先选择能在课程环境复现、能进入 CI、能输出报告证据的工具；本地无法安装的外部工具不得只写“计划使用”，必须保留命令、配置、阈值和替代验证说明。</w:t>
            </w:r>
          </w:p>
          <w:p>
            <w:pPr>
              <w:spacing w:before="0" w:after="60" w:line="276" w:lineRule="auto"/>
            </w:pPr>
            <w:r>
              <w:t>自动化优先级：P0/P1 功能、曾经出现过缺陷的场景、跨服务契约、隐私与支付相关逻辑优先自动化；低风险 UI 展示类场景可采用手工抽查与截图证据。</w:t>
            </w:r>
          </w:p>
          <w:p>
            <w:pPr>
              <w:spacing w:before="0" w:after="60" w:line="276" w:lineRule="auto"/>
            </w:pPr>
            <w:r>
              <w:t>维护原则：测试代码与生产代码同仓管理，测试数据集中定义，断言表达业务含义，避免用睡眠等待、环境硬编码或过度 Mock 掩盖真实问题。</w:t>
            </w:r>
          </w:p>
        </w:tc>
      </w:tr>
    </w:tbl>
    <w:p/>
    <w:p>
      <w:pPr>
        <w:keepNext/>
        <w:spacing w:before="280" w:after="120"/>
        <w:pBdr>
          <w:bottom w:val="single" w:sz="8" w:space="4" w:color="1A7A3D"/>
        </w:pBdr>
      </w:pPr>
      <w:r>
        <w:rPr>
          <w:rFonts w:ascii="Microsoft YaHei" w:hAnsi="Microsoft YaHei" w:eastAsia="Microsoft YaHei"/>
          <w:b/>
          <w:color w:val="1A7A3D"/>
          <w:sz w:val="36"/>
        </w:rPr>
        <w:t>5  测试数据管理</w:t>
      </w:r>
    </w:p>
    <w:p>
      <w:pPr>
        <w:keepNext/>
        <w:spacing w:before="200" w:after="120"/>
        <w:pBdr>
          <w:bottom w:val="single" w:sz="4" w:space="4" w:color="4DB872"/>
        </w:pBdr>
      </w:pPr>
      <w:r>
        <w:rPr>
          <w:rFonts w:ascii="Microsoft YaHei" w:hAnsi="Microsoft YaHei" w:eastAsia="Microsoft YaHei"/>
          <w:b/>
          <w:color w:val="1A7A3D"/>
          <w:sz w:val="30"/>
        </w:rPr>
        <w:t>5.1  数据生成策略</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rPr>
                <w:b/>
              </w:rPr>
              <w:t>数据来源：</w:t>
            </w:r>
            <w:r>
              <w:t>测试数据由固定随机种子生成，包含会员、门店、桌位、时间段、优惠券、菜单、支付流水和通知事件，保证重复运行时结果稳定。</w:t>
            </w:r>
          </w:p>
          <w:p>
            <w:pPr>
              <w:spacing w:before="0" w:after="60" w:line="276" w:lineRule="auto"/>
            </w:pPr>
            <w:r>
              <w:t>1. 正常数据：可预约门店、有效会员、可用桌位、合法支付令牌和正常营业时段，用于主流程回归。</w:t>
            </w:r>
          </w:p>
          <w:p>
            <w:pPr>
              <w:spacing w:before="0" w:after="60" w:line="276" w:lineRule="auto"/>
            </w:pPr>
            <w:r>
              <w:t>2. 边界数据：人数 0/1/8/9、预约时长 29/30/180/181 分钟、闭店前后 1 分钟、积分抵扣上下限、备注长度边界。</w:t>
            </w:r>
          </w:p>
          <w:p>
            <w:pPr>
              <w:spacing w:before="0" w:after="60" w:line="276" w:lineRule="auto"/>
            </w:pPr>
            <w:r>
              <w:t>3. 异常数据：重复幂等键、过期 token、取消已签到预约、库存不足、支付回调乱序、通知发送失败。</w:t>
            </w:r>
          </w:p>
          <w:p>
            <w:pPr>
              <w:spacing w:before="0" w:after="60" w:line="276" w:lineRule="auto"/>
            </w:pPr>
            <w:r>
              <w:t>4. 语义数据：橘猫、橘子套餐、orange cat、猫咪生日会等混淆词，用于验证 AI 推荐和自然语言解析不会再误判。</w:t>
            </w:r>
          </w:p>
          <w:p>
            <w:pPr>
              <w:spacing w:before="0" w:after="60" w:line="276" w:lineRule="auto"/>
            </w:pPr>
            <w:r>
              <w:t>5. 复现数据：来自缺陷台账的复现样本必须先匿名化，进入 regression_seed 集合后绑定缺陷 ID。</w:t>
            </w:r>
          </w:p>
        </w:tc>
      </w:tr>
    </w:tbl>
    <w:p/>
    <w:p>
      <w:pPr>
        <w:keepNext/>
        <w:spacing w:before="200" w:after="120"/>
        <w:pBdr>
          <w:bottom w:val="single" w:sz="4" w:space="4" w:color="4DB872"/>
        </w:pBdr>
      </w:pPr>
      <w:r>
        <w:rPr>
          <w:rFonts w:ascii="Microsoft YaHei" w:hAnsi="Microsoft YaHei" w:eastAsia="Microsoft YaHei"/>
          <w:b/>
          <w:color w:val="1A7A3D"/>
          <w:sz w:val="30"/>
        </w:rPr>
        <w:t>5.2  脱敏与合规</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rPr>
                <w:b/>
              </w:rPr>
              <w:t>脱敏规则：</w:t>
            </w:r>
            <w:r>
              <w:t>手机号保留前三后四，中间置星；邮箱保留首字母和域名；地址只保留城市/区县；支付流水只保留后四位；token、cookie、验证码不得出现在日志、截图和提交记录中。</w:t>
            </w:r>
          </w:p>
          <w:p>
            <w:pPr>
              <w:spacing w:before="0" w:after="60" w:line="276" w:lineRule="auto"/>
            </w:pPr>
            <w:r>
              <w:t>合规要求：真实用户数据不得直接进入测试库；若需要使用生产形态样本，只允许字段级匿名化后的结构数据，并记录来源、处理人、处理日期和用途。</w:t>
            </w:r>
          </w:p>
          <w:p>
            <w:pPr>
              <w:spacing w:before="0" w:after="60" w:line="276" w:lineRule="auto"/>
            </w:pPr>
            <w:r>
              <w:t>日志要求：测试失败输出只保留 traceId、用例 ID、错误类型和必要的业务状态；任何备注、手机号、邮箱、支付字段都需要经过脱敏过滤。</w:t>
            </w:r>
          </w:p>
          <w:p>
            <w:pPr>
              <w:spacing w:before="0" w:after="60" w:line="276" w:lineRule="auto"/>
            </w:pPr>
            <w:r>
              <w:t>截图要求：提交到 Word 的报告截图若出现账号、令牌、仓库密钥或真实手机号，必须先遮挡；本实验报告优先使用沙箱账号和虚拟数据。</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rPr>
                <w:b/>
              </w:rPr>
              <w:t>生命周期：</w:t>
            </w:r>
            <w:r>
              <w:t>单元与属性测试使用内存数据；集成测试在执行前创建隔离命名空间，执行后清理；E2E 使用 qa_seed_ 前缀账户；性能测试使用只读门店、虚拟支付和批量生成预约；缺陷复现数据进入 D4-6 前先匿名化。</w:t>
            </w:r>
          </w:p>
          <w:p>
            <w:pPr>
              <w:spacing w:before="0" w:after="60" w:line="276" w:lineRule="auto"/>
            </w:pPr>
            <w:r>
              <w:t>数据隔离：每次 CI 运行使用唯一 run_id 标记测试数据，避免并发流水线互相污染；可复用的基线数据由 seed 脚本初始化，临时数据由 teardown 清理。</w:t>
            </w:r>
          </w:p>
          <w:p>
            <w:pPr>
              <w:spacing w:before="0" w:after="60" w:line="276" w:lineRule="auto"/>
            </w:pPr>
            <w:r>
              <w:t>数据回收：超过 7 天的临时测试账户、预约、订单和通知事件应自动清理；保留的仅是聚合报告、缺陷复现步骤和脱敏后的最小样本。</w:t>
            </w:r>
          </w:p>
        </w:tc>
      </w:tr>
    </w:tbl>
    <w:p/>
    <w:p>
      <w:pPr>
        <w:keepNext/>
        <w:spacing w:before="280" w:after="120"/>
        <w:pBdr>
          <w:bottom w:val="single" w:sz="8" w:space="4" w:color="1A7A3D"/>
        </w:pBdr>
      </w:pPr>
      <w:r>
        <w:rPr>
          <w:rFonts w:ascii="Microsoft YaHei" w:hAnsi="Microsoft YaHei" w:eastAsia="Microsoft YaHei"/>
          <w:b/>
          <w:color w:val="1A7A3D"/>
          <w:sz w:val="36"/>
        </w:rPr>
        <w:t>6  环境矩阵</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t>local：开发者提交前运行静态检查、单元测试、属性测试、契约校验和轻量集成测试，目标是在本地快速发现可修复问题。</w:t>
            </w:r>
          </w:p>
          <w:p>
            <w:pPr>
              <w:spacing w:before="0" w:after="60" w:line="276" w:lineRule="auto"/>
            </w:pPr>
            <w:r>
              <w:t>dev：PR 自动运行完整集成测试、HTML 报告生成、覆盖率统计、轻量变异检查和 Docker/Compose 起栈检查。</w:t>
            </w:r>
          </w:p>
          <w:p>
            <w:pPr>
              <w:spacing w:before="0" w:after="60" w:line="276" w:lineRule="auto"/>
            </w:pPr>
            <w:r>
              <w:t>staging：发布候选版本执行三条 E2E 旅程、k6 smoke、ZAP baseline、Lighthouse/axe 和回滚演练，结果进入 D4-4 和 D4-7。</w:t>
            </w:r>
          </w:p>
          <w:p>
            <w:pPr>
              <w:spacing w:before="0" w:after="60" w:line="276" w:lineRule="auto"/>
            </w:pPr>
            <w:r>
              <w:t>prod：只允许只读健康探针、可观测性告警、日志采样和演练级回滚验证，不执行写入真实业务数据的测试。</w:t>
            </w:r>
          </w:p>
          <w:p>
            <w:pPr>
              <w:spacing w:before="0" w:after="60" w:line="276" w:lineRule="auto"/>
            </w:pPr>
            <w:r>
              <w:rPr>
                <w:b/>
              </w:rPr>
              <w:t>准入准出：</w:t>
            </w:r>
            <w:r>
              <w:t>local 通过才提交，dev 通过才合并，staging 通过才发布，prod 只承接监控与回滚，不替代发布前测试。</w:t>
            </w:r>
          </w:p>
        </w:tc>
      </w:tr>
    </w:tbl>
    <w:p/>
    <w:p>
      <w:pPr>
        <w:keepNext/>
        <w:spacing w:before="280" w:after="120"/>
        <w:pBdr>
          <w:bottom w:val="single" w:sz="8" w:space="4" w:color="1A7A3D"/>
        </w:pBdr>
      </w:pPr>
      <w:r>
        <w:rPr>
          <w:rFonts w:ascii="Microsoft YaHei" w:hAnsi="Microsoft YaHei" w:eastAsia="Microsoft YaHei"/>
          <w:b/>
          <w:color w:val="1A7A3D"/>
          <w:sz w:val="36"/>
        </w:rPr>
        <w:t>7  进度与里程碑</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t>4 学时执行计划：</w:t>
            </w:r>
          </w:p>
          <w:p>
            <w:pPr>
              <w:spacing w:before="0" w:after="60" w:line="276" w:lineRule="auto"/>
            </w:pPr>
            <w:r>
              <w:t>0.0-0.5h：完成测试计划、质量目标、测试金字塔预算、测试数据策略和 D4-2 用例框架。</w:t>
            </w:r>
          </w:p>
          <w:p>
            <w:pPr>
              <w:spacing w:before="0" w:after="60" w:line="276" w:lineRule="auto"/>
            </w:pPr>
            <w:r>
              <w:t>0.5-1.5h：补齐单元、属性、契约测试，生成覆盖率和变异测试结果，处理失败用例。</w:t>
            </w:r>
          </w:p>
          <w:p>
            <w:pPr>
              <w:spacing w:before="0" w:after="60" w:line="276" w:lineRule="auto"/>
            </w:pPr>
            <w:r>
              <w:t>1.5-2.5h：完成集成测试、E2E 核心旅程、HTML 报告截图，并将代表性结果写入 D4-3。</w:t>
            </w:r>
          </w:p>
          <w:p>
            <w:pPr>
              <w:spacing w:before="0" w:after="60" w:line="276" w:lineRule="auto"/>
            </w:pPr>
            <w:r>
              <w:t>2.5-3.0h：整理性能、安全、可访问性测试证据，形成 D4-4 的曲线、扫描摘要和整改说明。</w:t>
            </w:r>
          </w:p>
          <w:p>
            <w:pPr>
              <w:spacing w:before="0" w:after="60" w:line="276" w:lineRule="auto"/>
            </w:pPr>
            <w:r>
              <w:t>3.0-3.5h：执行三轮 AI 代码审查，记录建议、裁决、采纳状态和有效性统计。</w:t>
            </w:r>
          </w:p>
          <w:p>
            <w:pPr>
              <w:spacing w:before="0" w:after="60" w:line="276" w:lineRule="auto"/>
            </w:pPr>
            <w:r>
              <w:t>3.5-4.0h：汇总缺陷台账、质量看板、RTM 扩展矩阵和最终提交，确保 experiment-4 分支与远端同步。</w:t>
            </w:r>
          </w:p>
        </w:tc>
      </w:tr>
    </w:tbl>
    <w:p/>
    <w:p>
      <w:pPr>
        <w:keepNext/>
        <w:spacing w:before="280" w:after="120"/>
        <w:pBdr>
          <w:bottom w:val="single" w:sz="8" w:space="4" w:color="1A7A3D"/>
        </w:pBdr>
      </w:pPr>
      <w:r>
        <w:rPr>
          <w:rFonts w:ascii="Microsoft YaHei" w:hAnsi="Microsoft YaHei" w:eastAsia="Microsoft YaHei"/>
          <w:b/>
          <w:color w:val="1A7A3D"/>
          <w:sz w:val="36"/>
        </w:rPr>
        <w:t>8  风险与对策</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t>风险与应对：</w:t>
            </w:r>
          </w:p>
          <w:p>
            <w:pPr>
              <w:spacing w:before="0" w:after="60" w:line="276" w:lineRule="auto"/>
            </w:pPr>
            <w:r>
              <w:t>1. E2E 运行慢：拆分为 smoke 与 nightly 两档，PR 只跑关键旅程，完整旅程在发布前执行。</w:t>
            </w:r>
          </w:p>
          <w:p>
            <w:pPr>
              <w:spacing w:before="0" w:after="60" w:line="276" w:lineRule="auto"/>
            </w:pPr>
            <w:r>
              <w:t>2. 测试数据污染：所有测试数据使用 run_id 和 qa_seed_ 前缀，teardown 失败时由清理脚本兜底。</w:t>
            </w:r>
          </w:p>
          <w:p>
            <w:pPr>
              <w:spacing w:before="0" w:after="60" w:line="276" w:lineRule="auto"/>
            </w:pPr>
            <w:r>
              <w:t>3. Mock 漂移：消费者与提供者之间以契约测试约束，Mock 只用于不可控外部服务，不替代服务间真实集成。</w:t>
            </w:r>
          </w:p>
          <w:p>
            <w:pPr>
              <w:spacing w:before="0" w:after="60" w:line="276" w:lineRule="auto"/>
            </w:pPr>
            <w:r>
              <w:t>4. AI 误报或漏报：AI 建议必须由人工裁决，拒绝项说明理由，采纳项需要回归测试或代码证据。</w:t>
            </w:r>
          </w:p>
          <w:p>
            <w:pPr>
              <w:spacing w:before="0" w:after="60" w:line="276" w:lineRule="auto"/>
            </w:pPr>
            <w:r>
              <w:t>5. 外部工具不可用：保留命令、阈值、报告模板和预期结果，在 CI 或可用环境中补跑，并在报告中诚实说明限制。</w:t>
            </w:r>
          </w:p>
          <w:p>
            <w:pPr>
              <w:spacing w:before="0" w:after="60" w:line="276" w:lineRule="auto"/>
            </w:pPr>
            <w:r>
              <w:t>6. 指标被“刷高”：禁止为了覆盖率删除业务分支或降低阈值，质量指标必须与缺陷复现、回归测试和代码审查证据一起判断。</w:t>
            </w:r>
          </w:p>
        </w:tc>
      </w:tr>
    </w:tbl>
    <w:p/>
    <w:p>
      <w:pPr>
        <w:keepNext/>
        <w:spacing w:before="280" w:after="120"/>
        <w:pBdr>
          <w:bottom w:val="single" w:sz="8" w:space="4" w:color="1A7A3D"/>
        </w:pBdr>
      </w:pPr>
      <w:r>
        <w:rPr>
          <w:rFonts w:ascii="Microsoft YaHei" w:hAnsi="Microsoft YaHei" w:eastAsia="Microsoft YaHei"/>
          <w:b/>
          <w:color w:val="1A7A3D"/>
          <w:sz w:val="36"/>
        </w:rPr>
        <w:t>9  退出准则</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t>退出准则：</w:t>
            </w:r>
          </w:p>
          <w:p>
            <w:pPr>
              <w:spacing w:before="0" w:after="60" w:line="276" w:lineRule="auto"/>
            </w:pPr>
            <w:r>
              <w:t>1. D4-1 至 D4-8 关键交付物完成，模板章节无占位符残留，图片和题注位置正确。</w:t>
            </w:r>
          </w:p>
          <w:p>
            <w:pPr>
              <w:spacing w:before="0" w:after="60" w:line="276" w:lineRule="auto"/>
            </w:pPr>
            <w:r>
              <w:t>2. D4-2 功能测试用例不少于 80 条，非功能测试用例不少于 18 条，并能追溯到需求、质量属性或门禁类型。</w:t>
            </w:r>
          </w:p>
          <w:p>
            <w:pPr>
              <w:spacing w:before="0" w:after="60" w:line="276" w:lineRule="auto"/>
            </w:pPr>
            <w:r>
              <w:t>3. D4-3 自动化测试报告全绿，行覆盖率、分支覆盖率和变异分数达到任务书阈值。</w:t>
            </w:r>
          </w:p>
          <w:p>
            <w:pPr>
              <w:spacing w:before="0" w:after="60" w:line="276" w:lineRule="auto"/>
            </w:pPr>
            <w:r>
              <w:t>4. D4-4 的性能、安全、可访问性结果有阈值、截图或示意图、问题处置和复测结论。</w:t>
            </w:r>
          </w:p>
          <w:p>
            <w:pPr>
              <w:spacing w:before="0" w:after="60" w:line="276" w:lineRule="auto"/>
            </w:pPr>
            <w:r>
              <w:t>5. D4-5 三轮 AI Review 有完整建议、裁决和有效性统计；D4-6 缺陷台账中 P0/P1 缺陷关闭并完成回归。</w:t>
            </w:r>
          </w:p>
          <w:p>
            <w:pPr>
              <w:spacing w:before="0" w:after="60" w:line="276" w:lineRule="auto"/>
            </w:pPr>
            <w:r>
              <w:t>6. experiment-4 分支提交并推送到远端，未提交的临时缓存、真实密钥和本机环境产物不得混入最终交付。</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val="0"/>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戴正宇</dc:creator>
  <cp:keywords/>
  <dc:description>generated by python-docx</dc:description>
  <cp:lastModifiedBy>戴正宇</cp:lastModifiedBy>
  <cp:revision>1</cp:revision>
  <dcterms:created xsi:type="dcterms:W3CDTF">2013-12-23T23:15:00Z</dcterms:created>
  <dcterms:modified xsi:type="dcterms:W3CDTF">2013-12-23T23:15:00Z</dcterms:modified>
  <cp:category/>
</cp:coreProperties>
</file>