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质量属性场景与效用树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质量属性场景与效用树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实验二  软件架构设计与微服务拆分实践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计算机23-2 / 231002703 / 戴正宇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把"系统应该多快、多稳、多安全"翻译成可量化的场景。每条 QAS 都要能写成一个测试用例，否则视为不合格。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非功能需求回顾（来自实验一）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实验一基线中提炼的关键非功能需求：NFR-001 核心预约链路 SLA ≥ 99.9%；NFR-002 预约创建接口 P95 ≤ 350ms；NFR-003 高峰支持 5000 QPS；NFR-004 新门店上线零停机；NFR-005 传输加密 TLS 1.2+；NFR-006 预约/订单/支付状态差异率 ≤ 0.1%；NFR-007 普通顾客 3 分钟内完成预约；NFR-009 核心接口 100% 有文档、错误码和 traceId；NFR-010 关键链路可观测覆盖率 ≥ 95%；NFR-011 个人信息授权撤回和删除请求 ≤ 15 个工作日响应。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效用树构建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根：业务效用最大化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根节点定义为“在高峰、跨门店扩张和合规约束下最大化业务效用”。效用不只等于功能数量，而是核心预约链路稳定、顾客体验可控、运营数据可信、团队能持续演进。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二级维度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二级维度：性能、可用性、安全与合规、数据一致性、可维护性、可演进性、成本。性能和可用性是 CTO 追问的第一优先级；安全合规是上线门槛；可维护性和可演进性决定后续微服务拆分是否值得。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叶节点（H/M/L 评级）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效用树：</w:t>
            </w:r>
          </w:p>
          <w:p>
            <w:r>
              <w:t>业务效用最大化</w:t>
            </w:r>
          </w:p>
          <w:p>
            <w:r>
              <w:t>├─ 性能：预约提交 P95≤350ms(H,H)；高峰 5000QPS(H,H)；看板 5s 内返回(M,M)</w:t>
            </w:r>
          </w:p>
          <w:p>
            <w:r>
              <w:t>├─ 可用性：预约链路 SLA≥99.9%(H,H)；单 AZ 故障 RTO≤5min(H,M)</w:t>
            </w:r>
          </w:p>
          <w:p>
            <w:r>
              <w:t>├─ 安全合规：TLS 全链路(H,L)；个人信息删除≤15工作日(H,M)</w:t>
            </w:r>
          </w:p>
          <w:p>
            <w:r>
              <w:t>├─ 数据一致性：预约-订单-支付差异率≤0.1%(H,H)</w:t>
            </w:r>
          </w:p>
          <w:p>
            <w:r>
              <w:t>├─ 可维护性：核心 API 文档覆盖 100%(M,M)；traceId 覆盖 95%(M,L)</w:t>
            </w:r>
          </w:p>
          <w:p>
            <w:r>
              <w:t>└─ 可演进性：新增门店零停机(H,M)；服务边界可独立扩展(M,M)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Top-10 QAS 从实验一需求基线、CTO 追问和实验二任务书中抽取。每个 QAS 都明确刺激源、运行环境、响应和度量，并直接驱动 D2-3 ATAM、D2-4 C4 与 D2-7 ADR。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Top-10 QAS 详表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79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ID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质量属性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场景描述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刺激源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刺激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制品</w:t>
            </w:r>
          </w:p>
        </w:tc>
        <w:tc>
          <w:tcPr>
            <w:tcW w:type="dxa" w:w="90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136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响应度量</w:t>
            </w:r>
          </w:p>
        </w:tc>
      </w:tr>
      <w:tr>
        <w:tc>
          <w:tcPr>
            <w:tcW w:type="dxa" w:w="1083"/>
          </w:tcPr>
          <w:p>
            <w:r>
              <w:t>QAS-01</w:t>
            </w:r>
          </w:p>
        </w:tc>
        <w:tc>
          <w:tcPr>
            <w:tcW w:type="dxa" w:w="1083"/>
          </w:tcPr>
          <w:p>
            <w:r>
              <w:t>性能</w:t>
            </w:r>
          </w:p>
        </w:tc>
        <w:tc>
          <w:tcPr>
            <w:tcW w:type="dxa" w:w="1083"/>
          </w:tcPr>
          <w:p>
            <w:r>
              <w:t>节假日午晚餐创建预约</w:t>
            </w:r>
          </w:p>
        </w:tc>
        <w:tc>
          <w:tcPr>
            <w:tcW w:type="dxa" w:w="1083"/>
          </w:tcPr>
          <w:p>
            <w:r>
              <w:t>顾客</w:t>
            </w:r>
          </w:p>
        </w:tc>
        <w:tc>
          <w:tcPr>
            <w:tcW w:type="dxa" w:w="1083"/>
          </w:tcPr>
          <w:p>
            <w:r>
              <w:t>POST /reservations</w:t>
            </w:r>
          </w:p>
        </w:tc>
        <w:tc>
          <w:tcPr>
            <w:tcW w:type="dxa" w:w="1083"/>
          </w:tcPr>
          <w:p>
            <w:r>
              <w:t>预约服务</w:t>
            </w:r>
          </w:p>
        </w:tc>
        <w:tc>
          <w:tcPr>
            <w:tcW w:type="dxa" w:w="1083"/>
          </w:tcPr>
          <w:p>
            <w:r>
              <w:t>5000 QPS 峰值</w:t>
            </w:r>
          </w:p>
        </w:tc>
        <w:tc>
          <w:tcPr>
            <w:tcW w:type="dxa" w:w="1083"/>
          </w:tcPr>
          <w:p>
            <w:r>
              <w:t>返回预约号或明确失败原因</w:t>
            </w:r>
          </w:p>
        </w:tc>
        <w:tc>
          <w:tcPr>
            <w:tcW w:type="dxa" w:w="1083"/>
          </w:tcPr>
          <w:p>
            <w:r>
              <w:t>P95≤350ms，错误率≤0.5%</w:t>
            </w:r>
          </w:p>
        </w:tc>
      </w:tr>
      <w:tr>
        <w:tc>
          <w:tcPr>
            <w:tcW w:type="dxa" w:w="1083"/>
          </w:tcPr>
          <w:p>
            <w:r>
              <w:t>QAS-02</w:t>
            </w:r>
          </w:p>
        </w:tc>
        <w:tc>
          <w:tcPr>
            <w:tcW w:type="dxa" w:w="1083"/>
          </w:tcPr>
          <w:p>
            <w:r>
              <w:t>可用性</w:t>
            </w:r>
          </w:p>
        </w:tc>
        <w:tc>
          <w:tcPr>
            <w:tcW w:type="dxa" w:w="1083"/>
          </w:tcPr>
          <w:p>
            <w:r>
              <w:t>核心预约链路持续可用</w:t>
            </w:r>
          </w:p>
        </w:tc>
        <w:tc>
          <w:tcPr>
            <w:tcW w:type="dxa" w:w="1083"/>
          </w:tcPr>
          <w:p>
            <w:r>
              <w:t>基础设施</w:t>
            </w:r>
          </w:p>
        </w:tc>
        <w:tc>
          <w:tcPr>
            <w:tcW w:type="dxa" w:w="1083"/>
          </w:tcPr>
          <w:p>
            <w:r>
              <w:t>单实例故障</w:t>
            </w:r>
          </w:p>
        </w:tc>
        <w:tc>
          <w:tcPr>
            <w:tcW w:type="dxa" w:w="1083"/>
          </w:tcPr>
          <w:p>
            <w:r>
              <w:t>预约服务/API网关</w:t>
            </w:r>
          </w:p>
        </w:tc>
        <w:tc>
          <w:tcPr>
            <w:tcW w:type="dxa" w:w="1083"/>
          </w:tcPr>
          <w:p>
            <w:r>
              <w:t>生产环境</w:t>
            </w:r>
          </w:p>
        </w:tc>
        <w:tc>
          <w:tcPr>
            <w:tcW w:type="dxa" w:w="1083"/>
          </w:tcPr>
          <w:p>
            <w:r>
              <w:t>自动摘除故障实例</w:t>
            </w:r>
          </w:p>
        </w:tc>
        <w:tc>
          <w:tcPr>
            <w:tcW w:type="dxa" w:w="1083"/>
          </w:tcPr>
          <w:p>
            <w:r>
              <w:t>月 SLA≥99.9%</w:t>
            </w:r>
          </w:p>
        </w:tc>
      </w:tr>
      <w:tr>
        <w:tc>
          <w:tcPr>
            <w:tcW w:type="dxa" w:w="1083"/>
          </w:tcPr>
          <w:p>
            <w:r>
              <w:t>QAS-03</w:t>
            </w:r>
          </w:p>
        </w:tc>
        <w:tc>
          <w:tcPr>
            <w:tcW w:type="dxa" w:w="1083"/>
          </w:tcPr>
          <w:p>
            <w:r>
              <w:t>可扩展</w:t>
            </w:r>
          </w:p>
        </w:tc>
        <w:tc>
          <w:tcPr>
            <w:tcW w:type="dxa" w:w="1083"/>
          </w:tcPr>
          <w:p>
            <w:r>
              <w:t>新增门店上线</w:t>
            </w:r>
          </w:p>
        </w:tc>
        <w:tc>
          <w:tcPr>
            <w:tcW w:type="dxa" w:w="1083"/>
          </w:tcPr>
          <w:p>
            <w:r>
              <w:t>运营</w:t>
            </w:r>
          </w:p>
        </w:tc>
        <w:tc>
          <w:tcPr>
            <w:tcW w:type="dxa" w:w="1083"/>
          </w:tcPr>
          <w:p>
            <w:r>
              <w:t>发布门店配置</w:t>
            </w:r>
          </w:p>
        </w:tc>
        <w:tc>
          <w:tcPr>
            <w:tcW w:type="dxa" w:w="1083"/>
          </w:tcPr>
          <w:p>
            <w:r>
              <w:t>门店/预约/菜单服务</w:t>
            </w:r>
          </w:p>
        </w:tc>
        <w:tc>
          <w:tcPr>
            <w:tcW w:type="dxa" w:w="1083"/>
          </w:tcPr>
          <w:p>
            <w:r>
              <w:t>营业中</w:t>
            </w:r>
          </w:p>
        </w:tc>
        <w:tc>
          <w:tcPr>
            <w:tcW w:type="dxa" w:w="1083"/>
          </w:tcPr>
          <w:p>
            <w:r>
              <w:t>无需停机即可被搜索和预约</w:t>
            </w:r>
          </w:p>
        </w:tc>
        <w:tc>
          <w:tcPr>
            <w:tcW w:type="dxa" w:w="1083"/>
          </w:tcPr>
          <w:p>
            <w:r>
              <w:t>停机时间=0</w:t>
            </w:r>
          </w:p>
        </w:tc>
      </w:tr>
      <w:tr>
        <w:tc>
          <w:tcPr>
            <w:tcW w:type="dxa" w:w="1083"/>
          </w:tcPr>
          <w:p>
            <w:r>
              <w:t>QAS-04</w:t>
            </w:r>
          </w:p>
        </w:tc>
        <w:tc>
          <w:tcPr>
            <w:tcW w:type="dxa" w:w="1083"/>
          </w:tcPr>
          <w:p>
            <w:r>
              <w:t>一致性</w:t>
            </w:r>
          </w:p>
        </w:tc>
        <w:tc>
          <w:tcPr>
            <w:tcW w:type="dxa" w:w="1083"/>
          </w:tcPr>
          <w:p>
            <w:r>
              <w:t>支付成功后订单与预约同步</w:t>
            </w:r>
          </w:p>
        </w:tc>
        <w:tc>
          <w:tcPr>
            <w:tcW w:type="dxa" w:w="1083"/>
          </w:tcPr>
          <w:p>
            <w:r>
              <w:t>支付平台</w:t>
            </w:r>
          </w:p>
        </w:tc>
        <w:tc>
          <w:tcPr>
            <w:tcW w:type="dxa" w:w="1083"/>
          </w:tcPr>
          <w:p>
            <w:r>
              <w:t>支付回调</w:t>
            </w:r>
          </w:p>
        </w:tc>
        <w:tc>
          <w:tcPr>
            <w:tcW w:type="dxa" w:w="1083"/>
          </w:tcPr>
          <w:p>
            <w:r>
              <w:t>订单/预约服务</w:t>
            </w:r>
          </w:p>
        </w:tc>
        <w:tc>
          <w:tcPr>
            <w:tcW w:type="dxa" w:w="1083"/>
          </w:tcPr>
          <w:p>
            <w:r>
              <w:t>网络抖动</w:t>
            </w:r>
          </w:p>
        </w:tc>
        <w:tc>
          <w:tcPr>
            <w:tcW w:type="dxa" w:w="1083"/>
          </w:tcPr>
          <w:p>
            <w:r>
              <w:t>最终一致并可对账</w:t>
            </w:r>
          </w:p>
        </w:tc>
        <w:tc>
          <w:tcPr>
            <w:tcW w:type="dxa" w:w="1083"/>
          </w:tcPr>
          <w:p>
            <w:r>
              <w:t>差异率≤0.1%</w:t>
            </w:r>
          </w:p>
        </w:tc>
      </w:tr>
      <w:tr>
        <w:tc>
          <w:tcPr>
            <w:tcW w:type="dxa" w:w="1083"/>
          </w:tcPr>
          <w:p>
            <w:r>
              <w:t>QAS-05</w:t>
            </w:r>
          </w:p>
        </w:tc>
        <w:tc>
          <w:tcPr>
            <w:tcW w:type="dxa" w:w="1083"/>
          </w:tcPr>
          <w:p>
            <w:r>
              <w:t>安全</w:t>
            </w:r>
          </w:p>
        </w:tc>
        <w:tc>
          <w:tcPr>
            <w:tcW w:type="dxa" w:w="1083"/>
          </w:tcPr>
          <w:p>
            <w:r>
              <w:t>顾客访问会员资料</w:t>
            </w:r>
          </w:p>
        </w:tc>
        <w:tc>
          <w:tcPr>
            <w:tcW w:type="dxa" w:w="1083"/>
          </w:tcPr>
          <w:p>
            <w:r>
              <w:t>顾客/攻击者</w:t>
            </w:r>
          </w:p>
        </w:tc>
        <w:tc>
          <w:tcPr>
            <w:tcW w:type="dxa" w:w="1083"/>
          </w:tcPr>
          <w:p>
            <w:r>
              <w:t>越权请求</w:t>
            </w:r>
          </w:p>
        </w:tc>
        <w:tc>
          <w:tcPr>
            <w:tcW w:type="dxa" w:w="1083"/>
          </w:tcPr>
          <w:p>
            <w:r>
              <w:t>会员服务</w:t>
            </w:r>
          </w:p>
        </w:tc>
        <w:tc>
          <w:tcPr>
            <w:tcW w:type="dxa" w:w="1083"/>
          </w:tcPr>
          <w:p>
            <w:r>
              <w:t>生产环境</w:t>
            </w:r>
          </w:p>
        </w:tc>
        <w:tc>
          <w:tcPr>
            <w:tcW w:type="dxa" w:w="1083"/>
          </w:tcPr>
          <w:p>
            <w:r>
              <w:t>拒绝越权并记录审计</w:t>
            </w:r>
          </w:p>
        </w:tc>
        <w:tc>
          <w:tcPr>
            <w:tcW w:type="dxa" w:w="1083"/>
          </w:tcPr>
          <w:p>
            <w:r>
              <w:t>越权成功=0</w:t>
            </w:r>
          </w:p>
        </w:tc>
      </w:tr>
      <w:tr>
        <w:tc>
          <w:tcPr>
            <w:tcW w:type="dxa" w:w="1083"/>
          </w:tcPr>
          <w:p>
            <w:r>
              <w:t>QAS-06</w:t>
            </w:r>
          </w:p>
        </w:tc>
        <w:tc>
          <w:tcPr>
            <w:tcW w:type="dxa" w:w="1083"/>
          </w:tcPr>
          <w:p>
            <w:r>
              <w:t>隐私</w:t>
            </w:r>
          </w:p>
        </w:tc>
        <w:tc>
          <w:tcPr>
            <w:tcW w:type="dxa" w:w="1083"/>
          </w:tcPr>
          <w:p>
            <w:r>
              <w:t>会员撤回营销授权</w:t>
            </w:r>
          </w:p>
        </w:tc>
        <w:tc>
          <w:tcPr>
            <w:tcW w:type="dxa" w:w="1083"/>
          </w:tcPr>
          <w:p>
            <w:r>
              <w:t>会员</w:t>
            </w:r>
          </w:p>
        </w:tc>
        <w:tc>
          <w:tcPr>
            <w:tcW w:type="dxa" w:w="1083"/>
          </w:tcPr>
          <w:p>
            <w:r>
              <w:t>关闭授权</w:t>
            </w:r>
          </w:p>
        </w:tc>
        <w:tc>
          <w:tcPr>
            <w:tcW w:type="dxa" w:w="1083"/>
          </w:tcPr>
          <w:p>
            <w:r>
              <w:t>会员/营销服务</w:t>
            </w:r>
          </w:p>
        </w:tc>
        <w:tc>
          <w:tcPr>
            <w:tcW w:type="dxa" w:w="1083"/>
          </w:tcPr>
          <w:p>
            <w:r>
              <w:t>正常负载</w:t>
            </w:r>
          </w:p>
        </w:tc>
        <w:tc>
          <w:tcPr>
            <w:tcW w:type="dxa" w:w="1083"/>
          </w:tcPr>
          <w:p>
            <w:r>
              <w:t>停止营销通知</w:t>
            </w:r>
          </w:p>
        </w:tc>
        <w:tc>
          <w:tcPr>
            <w:tcW w:type="dxa" w:w="1083"/>
          </w:tcPr>
          <w:p>
            <w:r>
              <w:t>≤1分钟生效</w:t>
            </w:r>
          </w:p>
        </w:tc>
      </w:tr>
      <w:tr>
        <w:tc>
          <w:tcPr>
            <w:tcW w:type="dxa" w:w="1083"/>
          </w:tcPr>
          <w:p>
            <w:r>
              <w:t>QAS-07</w:t>
            </w:r>
          </w:p>
        </w:tc>
        <w:tc>
          <w:tcPr>
            <w:tcW w:type="dxa" w:w="1083"/>
          </w:tcPr>
          <w:p>
            <w:r>
              <w:t>可观测</w:t>
            </w:r>
          </w:p>
        </w:tc>
        <w:tc>
          <w:tcPr>
            <w:tcW w:type="dxa" w:w="1083"/>
          </w:tcPr>
          <w:p>
            <w:r>
              <w:t>预约失败率异常升高</w:t>
            </w:r>
          </w:p>
        </w:tc>
        <w:tc>
          <w:tcPr>
            <w:tcW w:type="dxa" w:w="1083"/>
          </w:tcPr>
          <w:p>
            <w:r>
              <w:t>监控系统</w:t>
            </w:r>
          </w:p>
        </w:tc>
        <w:tc>
          <w:tcPr>
            <w:tcW w:type="dxa" w:w="1083"/>
          </w:tcPr>
          <w:p>
            <w:r>
              <w:t>失败率&gt;2%</w:t>
            </w:r>
          </w:p>
        </w:tc>
        <w:tc>
          <w:tcPr>
            <w:tcW w:type="dxa" w:w="1083"/>
          </w:tcPr>
          <w:p>
            <w:r>
              <w:t>全链路</w:t>
            </w:r>
          </w:p>
        </w:tc>
        <w:tc>
          <w:tcPr>
            <w:tcW w:type="dxa" w:w="1083"/>
          </w:tcPr>
          <w:p>
            <w:r>
              <w:t>高峰期</w:t>
            </w:r>
          </w:p>
        </w:tc>
        <w:tc>
          <w:tcPr>
            <w:tcW w:type="dxa" w:w="1083"/>
          </w:tcPr>
          <w:p>
            <w:r>
              <w:t>触发告警并定位 trace</w:t>
            </w:r>
          </w:p>
        </w:tc>
        <w:tc>
          <w:tcPr>
            <w:tcW w:type="dxa" w:w="1083"/>
          </w:tcPr>
          <w:p>
            <w:r>
              <w:t>5分钟内告警</w:t>
            </w:r>
          </w:p>
        </w:tc>
      </w:tr>
      <w:tr>
        <w:tc>
          <w:tcPr>
            <w:tcW w:type="dxa" w:w="1083"/>
          </w:tcPr>
          <w:p>
            <w:r>
              <w:t>QAS-08</w:t>
            </w:r>
          </w:p>
        </w:tc>
        <w:tc>
          <w:tcPr>
            <w:tcW w:type="dxa" w:w="1083"/>
          </w:tcPr>
          <w:p>
            <w:r>
              <w:t>易用性</w:t>
            </w:r>
          </w:p>
        </w:tc>
        <w:tc>
          <w:tcPr>
            <w:tcW w:type="dxa" w:w="1083"/>
          </w:tcPr>
          <w:p>
            <w:r>
              <w:t>普通顾客完成预约</w:t>
            </w:r>
          </w:p>
        </w:tc>
        <w:tc>
          <w:tcPr>
            <w:tcW w:type="dxa" w:w="1083"/>
          </w:tcPr>
          <w:p>
            <w:r>
              <w:t>顾客</w:t>
            </w:r>
          </w:p>
        </w:tc>
        <w:tc>
          <w:tcPr>
            <w:tcW w:type="dxa" w:w="1083"/>
          </w:tcPr>
          <w:p>
            <w:r>
              <w:t>首次使用</w:t>
            </w:r>
          </w:p>
        </w:tc>
        <w:tc>
          <w:tcPr>
            <w:tcW w:type="dxa" w:w="1083"/>
          </w:tcPr>
          <w:p>
            <w:r>
              <w:t>顾客端</w:t>
            </w:r>
          </w:p>
        </w:tc>
        <w:tc>
          <w:tcPr>
            <w:tcW w:type="dxa" w:w="1083"/>
          </w:tcPr>
          <w:p>
            <w:r>
              <w:t>正常网络</w:t>
            </w:r>
          </w:p>
        </w:tc>
        <w:tc>
          <w:tcPr>
            <w:tcW w:type="dxa" w:w="1083"/>
          </w:tcPr>
          <w:p>
            <w:r>
              <w:t>完成预约并收到通知</w:t>
            </w:r>
          </w:p>
        </w:tc>
        <w:tc>
          <w:tcPr>
            <w:tcW w:type="dxa" w:w="1083"/>
          </w:tcPr>
          <w:p>
            <w:r>
              <w:t>≤3分钟</w:t>
            </w:r>
          </w:p>
        </w:tc>
      </w:tr>
      <w:tr>
        <w:tc>
          <w:tcPr>
            <w:tcW w:type="dxa" w:w="1083"/>
          </w:tcPr>
          <w:p>
            <w:r>
              <w:t>QAS-09</w:t>
            </w:r>
          </w:p>
        </w:tc>
        <w:tc>
          <w:tcPr>
            <w:tcW w:type="dxa" w:w="1083"/>
          </w:tcPr>
          <w:p>
            <w:r>
              <w:t>可维护</w:t>
            </w:r>
          </w:p>
        </w:tc>
        <w:tc>
          <w:tcPr>
            <w:tcW w:type="dxa" w:w="1083"/>
          </w:tcPr>
          <w:p>
            <w:r>
              <w:t>接口变更</w:t>
            </w:r>
          </w:p>
        </w:tc>
        <w:tc>
          <w:tcPr>
            <w:tcW w:type="dxa" w:w="1083"/>
          </w:tcPr>
          <w:p>
            <w:r>
              <w:t>开发团队</w:t>
            </w:r>
          </w:p>
        </w:tc>
        <w:tc>
          <w:tcPr>
            <w:tcW w:type="dxa" w:w="1083"/>
          </w:tcPr>
          <w:p>
            <w:r>
              <w:t>新增字段</w:t>
            </w:r>
          </w:p>
        </w:tc>
        <w:tc>
          <w:tcPr>
            <w:tcW w:type="dxa" w:w="1083"/>
          </w:tcPr>
          <w:p>
            <w:r>
              <w:t>API契约</w:t>
            </w:r>
          </w:p>
        </w:tc>
        <w:tc>
          <w:tcPr>
            <w:tcW w:type="dxa" w:w="1083"/>
          </w:tcPr>
          <w:p>
            <w:r>
              <w:t>迭代期</w:t>
            </w:r>
          </w:p>
        </w:tc>
        <w:tc>
          <w:tcPr>
            <w:tcW w:type="dxa" w:w="1083"/>
          </w:tcPr>
          <w:p>
            <w:r>
              <w:t>兼容旧客户端</w:t>
            </w:r>
          </w:p>
        </w:tc>
        <w:tc>
          <w:tcPr>
            <w:tcW w:type="dxa" w:w="1083"/>
          </w:tcPr>
          <w:p>
            <w:r>
              <w:t>无破坏性变更</w:t>
            </w:r>
          </w:p>
        </w:tc>
      </w:tr>
      <w:tr>
        <w:tc>
          <w:tcPr>
            <w:tcW w:type="dxa" w:w="1083"/>
          </w:tcPr>
          <w:p>
            <w:r>
              <w:t>QAS-10</w:t>
            </w:r>
          </w:p>
        </w:tc>
        <w:tc>
          <w:tcPr>
            <w:tcW w:type="dxa" w:w="1083"/>
          </w:tcPr>
          <w:p>
            <w:r>
              <w:t>成本</w:t>
            </w:r>
          </w:p>
        </w:tc>
        <w:tc>
          <w:tcPr>
            <w:tcW w:type="dxa" w:w="1083"/>
          </w:tcPr>
          <w:p>
            <w:r>
              <w:t>运营看板查询大促数据</w:t>
            </w:r>
          </w:p>
        </w:tc>
        <w:tc>
          <w:tcPr>
            <w:tcW w:type="dxa" w:w="1083"/>
          </w:tcPr>
          <w:p>
            <w:r>
              <w:t>运营</w:t>
            </w:r>
          </w:p>
        </w:tc>
        <w:tc>
          <w:tcPr>
            <w:tcW w:type="dxa" w:w="1083"/>
          </w:tcPr>
          <w:p>
            <w:r>
              <w:t>跨门店查询</w:t>
            </w:r>
          </w:p>
        </w:tc>
        <w:tc>
          <w:tcPr>
            <w:tcW w:type="dxa" w:w="1083"/>
          </w:tcPr>
          <w:p>
            <w:r>
              <w:t>分析读模型</w:t>
            </w:r>
          </w:p>
        </w:tc>
        <w:tc>
          <w:tcPr>
            <w:tcW w:type="dxa" w:w="1083"/>
          </w:tcPr>
          <w:p>
            <w:r>
              <w:t>活动后</w:t>
            </w:r>
          </w:p>
        </w:tc>
        <w:tc>
          <w:tcPr>
            <w:tcW w:type="dxa" w:w="1083"/>
          </w:tcPr>
          <w:p>
            <w:r>
              <w:t>返回汇总指标</w:t>
            </w:r>
          </w:p>
        </w:tc>
        <w:tc>
          <w:tcPr>
            <w:tcW w:type="dxa" w:w="1083"/>
          </w:tcPr>
          <w:p>
            <w:r>
              <w:t>≤5秒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架构关注点清单：预约写入热点、库存/桌位并发控制、支付回调幂等、跨服务 traceId、会员隐私授权、运营读模型延迟、门店配置灰度、消息积压和失败重试。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优先级裁决与签字栏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评审参与人：戴正宇（架构设计/记录）、AI 模拟 CTO（反向质询）、AI 模拟测试负责人（可测试性评审）。裁决日期：2026-05-14。负责人签字：戴正宇。</w:t>
            </w:r>
          </w:p>
        </w:tc>
      </w:tr>
    </w:tbl>
    <w:p/>
    <w:p>
      <w:r>
        <w:br w:type="page"/>
      </w:r>
    </w:p>
    <w:p>
      <w:pPr>
        <w:pStyle w:val="Heading1"/>
      </w:pPr>
      <w:r>
        <w:t>图示补充（本次补图）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0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utility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图2-1 质量属性效用树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