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60" w:line="269" w:lineRule="auto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数据模型 ER 图与数据字典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>
      <w:pPr>
        <w:spacing w:line="269" w:lineRule="auto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6EF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EAF6E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数据模型 ER 图与数据字典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实验二  软件架构设计与微服务拆分实践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sz w:val="18"/>
              </w:rP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sz w:val="18"/>
              </w:rPr>
              <w:t>2026-05-14</w:t>
            </w:r>
          </w:p>
        </w:tc>
      </w:tr>
    </w:tbl>
    <w:p>
      <w:pPr>
        <w:spacing w:line="269" w:lineRule="auto" w:after="60"/>
      </w:pPr>
    </w:p>
    <w:p>
      <w:pPr>
        <w:spacing w:line="269" w:lineRule="auto" w:after="60"/>
      </w:pPr>
      <w:r>
        <w:rPr>
          <w:rFonts w:ascii="Microsoft YaHei" w:hAnsi="Microsoft YaHei" w:eastAsia="Microsoft YaHei"/>
          <w:sz w:val="21"/>
        </w:rPr>
        <w:br w:type="page"/>
      </w: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60" w:before="0" w:line="269" w:lineRule="auto"/>
        <w:ind w:firstLine="340"/>
        <w:jc w:val="left"/>
      </w:pPr>
      <w:r>
        <w:rPr>
          <w:rFonts w:ascii="Microsoft YaHei" w:hAnsi="Microsoft YaHei" w:eastAsia="Microsoft YaHei"/>
          <w:b/>
          <w:color w:val="2B2B2B"/>
          <w:sz w:val="21"/>
        </w:rPr>
        <w:t>以"上下文 → 实体 → 字段"三层组织数据模型。所有跨境字段须打 [GDPR] 标记。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>
      <w:pPr>
        <w:spacing w:line="269" w:lineRule="auto" w:after="60"/>
      </w:pP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ER 图（按上下文分图）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sz w:val="18"/>
              </w:rPr>
              <w:t>ER 图按预约、会员、门店三个核心/支撑上下文组织，标注主键、外键、个人信息字段和主要一对多关系。跨上下文数据不直接共享业务表，优先通过 API 或领域事件集成。</w:t>
            </w:r>
          </w:p>
          <w:p>
            <w:pPr>
              <w:spacing w:line="259" w:lineRule="auto"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5897880" cy="3931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393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69" w:lineRule="auto" w:after="60"/>
      </w:pP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表名</w:t>
            </w:r>
          </w:p>
        </w:tc>
        <w:tc>
          <w:tcPr>
            <w:tcW w:type="dxa" w:w="1949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中文名</w:t>
            </w:r>
          </w:p>
        </w:tc>
        <w:tc>
          <w:tcPr>
            <w:tcW w:type="dxa" w:w="1949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业务含义</w:t>
            </w:r>
          </w:p>
        </w:tc>
        <w:tc>
          <w:tcPr>
            <w:tcW w:type="dxa" w:w="1949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关键字段</w:t>
            </w:r>
          </w:p>
        </w:tc>
        <w:tc>
          <w:tcPr>
            <w:tcW w:type="dxa" w:w="1949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备注/约束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t_customer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顾客表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注册顾客基础身份，供会员上下文维护账号。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 / phone_hash / nickname / status / created_at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[PII] 手机号散列，不保存明文。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t_member_profile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会员画像表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等级、积分、偏好与联系偏好。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member_id / level / total_points / preference_tags / contact_preference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[PII] preference_tags 仅限推荐与履约使用。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t_privacy_consent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隐私授权表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记录授权类型、版本、撤回状态。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member_id / consent_type / granted / policy_version / updated_at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所有变更写入审计日志。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t_store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门店表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门店基础资料和营业状态。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 / city / address / phone / status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store_id 是门店级隔离根。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t_table_slot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桌位表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可预约桌位与区域容量。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 / store_id / table_no / capacity / area_type / status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预约容量来源。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t_business_hours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营业规则表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营业时间、闭店、包场与灰度规则。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 / store_id / weekday / open_at / close_at / rule_type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支持门店配置灰度发布。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t_reservation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预约生命周期主表。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 / member_id / store_id / table_id / time_slot_start / status / trace_id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按月分区；高频查询字段建组合索引。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t_waitlist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候补表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满座时的候补队列。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 / store_id / member_id / desired_slot / rank / status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队列转正后关联 reservation_id。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t_capacity_lock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容量锁表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并发创建预约时的短期容量锁。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 / table_id / time_slot_start / expires_at / token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唯一索引防止重复占用；TTL 清理。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t_order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订单表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到店消费订单主表。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 / reservation_id / member_id / amount / status / paid_at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与预约弱关联，支持无预约消费。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t_order_item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订单明细表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菜品、周边等明细。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 / order_id / sku_id / quantity / price / subtotal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明细金额不可变。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t_payment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支付表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押金、订单支付与第三方回调。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 / order_id / channel / amount / status / idempotency_key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idempotency_key 唯一。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t_refund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退款表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退款申请、回调和人工处理。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 / payment_id / amount / reason / status / completed_at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保留外部退款单号。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t_cat_profile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猫咪档案表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猫咪资料、性格和可互动状态。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 / store_id / name / temperament / available_status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推荐输入，但不作医疗诊断。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t_health_check_in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健康打卡表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每日健康和异常记录。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 / cat_id / appetite / energy / temperature / abnormal_flag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异常触发通知与运营看板。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t_campaign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活动表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营销活动配置与目标规则。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 / store_scope / segment_rule / start_at / end_at / status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只保存规则，不复制会员敏感信息。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t_coupon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优惠券表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会员领取、使用和过期。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 / campaign_id / member_id / code / status / valid_until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与会员、订单弱关联。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t_metric_snapshot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指标快照表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运营看板读模型。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 / store_id / metric_date / turnover_rate / revenue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CQRS 读模型，可重建。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t_notification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通知记录表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短信、站内信、邮件发送状态。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 / target_member_id / channel / template_id / status / retry_count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[PII] 通知目标脱敏存储。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t_audit_log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审计日志表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关键操作和授权变更留痕。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 / actor_id / action / object_id / trace_id / created_at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不可变追加；180 天以上保留。</w:t>
            </w:r>
          </w:p>
        </w:tc>
      </w:tr>
    </w:tbl>
    <w:p>
      <w:pPr>
        <w:spacing w:line="269" w:lineRule="auto" w:after="60"/>
      </w:pPr>
    </w:p>
    <w:p>
      <w:pPr>
        <w:keepNext/>
        <w:spacing w:before="200" w:after="60" w:line="269" w:lineRule="auto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字段级数据字典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表名</w:t>
            </w:r>
          </w:p>
        </w:tc>
        <w:tc>
          <w:tcPr>
            <w:tcW w:type="dxa" w:w="1624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字段</w:t>
            </w:r>
          </w:p>
        </w:tc>
        <w:tc>
          <w:tcPr>
            <w:tcW w:type="dxa" w:w="1624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类型</w:t>
            </w:r>
          </w:p>
        </w:tc>
        <w:tc>
          <w:tcPr>
            <w:tcW w:type="dxa" w:w="1624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约束</w:t>
            </w:r>
          </w:p>
        </w:tc>
        <w:tc>
          <w:tcPr>
            <w:tcW w:type="dxa" w:w="1624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含义</w:t>
            </w:r>
          </w:p>
        </w:tc>
        <w:tc>
          <w:tcPr>
            <w:tcW w:type="dxa" w:w="1624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数据分类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t_reservation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PK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预约唯一编号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普通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t_reservation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member_id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FK, NOT NULL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发起预约的会员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内部标识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t_reservation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store_id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FK, NOT NULL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预约所属门店，用于租户隔离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内部标识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t_reservation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table_id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FK, NOT NULL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被预约桌位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普通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t_reservation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time_slot_start/end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DATETIME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预约开始与结束时间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普通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t_reservation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party_size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INT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1-12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就餐人数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普通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t_reservation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special_request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VARCHAR(500)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儿童同行、过敏等特殊需求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敏感个人信息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t_reservation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VARCHAR(32)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枚举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PENDING_PAYMENT/CONFIRMED/CHECKED_IN/CANCELLED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普通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t_reservation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trace_id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VARCHAR(64)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链路追踪 ID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运维数据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t_capacity_lock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table_id + time_slot_start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BIGINT + DATETIME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UNIQUE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容量锁唯一键，防止重复预约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普通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t_capacity_lock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expires_at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DATETIME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锁过期时间，超时自动释放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普通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t_member_profile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phone_hash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CHAR(64)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UNIQUE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手机号哈希值，用于登录匹配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个人信息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t_member_profile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phone_masked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VARCHAR(20)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派生字段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脱敏展示手机号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个人信息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t_member_profile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preference_tags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JSON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猫咪偏好、口味偏好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个人信息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t_privacy_consent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consent_type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VARCHAR(32)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枚举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推荐、营销、分析、跨境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合规字段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t_privacy_consent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policy_version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VARCHAR(20)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隐私政策版本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合规字段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t_payment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idempotency_key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VARCHAR(80)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UNIQUE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支付或押金写接口幂等键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运维数据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t_payment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channel_trade_no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VARCHAR(80)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UNIQUE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第三方支付流水号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交易数据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t_refund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reason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VARCHAR(200)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退款原因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可能含个人信息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t_cat_profile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available_status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TINYINT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枚举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是否可互动/休息/治疗中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普通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t_health_check_in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temperature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DECIMAL(4,1)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体温记录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门店照护数据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t_notification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target_member_id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FK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通知目标会员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个人信息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t_audit_log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actor_id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操作人 ID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审计数据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t_audit_log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trace_id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VARCHAR(64)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关联请求链路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审计数据</w:t>
            </w:r>
          </w:p>
        </w:tc>
      </w:tr>
    </w:tbl>
    <w:p>
      <w:pPr>
        <w:spacing w:line="269" w:lineRule="auto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策略项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实现方式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适用表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验证方式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门店隔离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所有门店业务表强制携带 store_id，普通门店角色只能查询本 store_id 数据。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t_reservation / t_order / t_cat_profile / t_metric_snapshot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接口鉴权注入 storeId，SQL 审计检查缺失条件。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总部查询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总部运营角色通过 RBAC 授权跨 store_id 查询，只访问运营读模型或脱敏视图。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t_metric_snapshot / v_member_summary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权限用例覆盖越权访问 403。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未来演进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若出现特许经营或跨境独立部署需求，可由行级隔离演进为 schema/database 隔离。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全库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ADR 记录迁移策略与灰度步骤。</w:t>
            </w:r>
          </w:p>
        </w:tc>
      </w:tr>
    </w:tbl>
    <w:p>
      <w:pPr>
        <w:spacing w:line="269" w:lineRule="auto" w:after="60"/>
      </w:pP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索引与分区策略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对象</w:t>
            </w:r>
          </w:p>
        </w:tc>
        <w:tc>
          <w:tcPr>
            <w:tcW w:type="dxa" w:w="1949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索引/分区</w:t>
            </w:r>
          </w:p>
        </w:tc>
        <w:tc>
          <w:tcPr>
            <w:tcW w:type="dxa" w:w="1949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目的</w:t>
            </w:r>
          </w:p>
        </w:tc>
        <w:tc>
          <w:tcPr>
            <w:tcW w:type="dxa" w:w="1949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风险</w:t>
            </w:r>
          </w:p>
        </w:tc>
        <w:tc>
          <w:tcPr>
            <w:tcW w:type="dxa" w:w="1949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验证指标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t_reservation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idx_store_slot_status(store_id,time_slot_start,status)，按月分区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支撑预约列表和高峰查询。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跨月查询需走分区裁剪。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P95 &lt;= 350ms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t_capacity_lock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uk_table_slot(table_id,time_slot_start)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防止同桌同时间段重复锁定。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锁未释放导致容量假满。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TTL 清理延迟 &lt;= 60s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t_payment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uk_idempotency_key(idempotency_key)，idx_order(order_id)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防止重复支付并快速按订单追踪。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回调乱序。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重复提交只生成一条支付记录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t_health_check_in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idx_cat_created(cat_id,created_at)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快速查看猫咪健康趋势。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历史表增长。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月度归档任务成功率 100%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t_metric_snapshot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uk_store_metric_date(store_id,metric_date,metric_name)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运营看板读模型可覆盖重建。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读模型延迟。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T+1 指标完整率 &gt;= 99%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t_audit_log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idx_trace_created(trace_id,created_at)，按月分区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支持合规审计与链路追踪。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日志量大。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traceId 查询 &lt;= 2s</w:t>
            </w:r>
          </w:p>
        </w:tc>
      </w:tr>
    </w:tbl>
    <w:p>
      <w:pPr>
        <w:spacing w:line="269" w:lineRule="auto" w:after="60"/>
      </w:pP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数据生命周期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数据类别</w:t>
            </w:r>
          </w:p>
        </w:tc>
        <w:tc>
          <w:tcPr>
            <w:tcW w:type="dxa" w:w="1949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保留期限</w:t>
            </w:r>
          </w:p>
        </w:tc>
        <w:tc>
          <w:tcPr>
            <w:tcW w:type="dxa" w:w="1949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归档策略</w:t>
            </w:r>
          </w:p>
        </w:tc>
        <w:tc>
          <w:tcPr>
            <w:tcW w:type="dxa" w:w="1949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删除/匿名化</w:t>
            </w:r>
          </w:p>
        </w:tc>
        <w:tc>
          <w:tcPr>
            <w:tcW w:type="dxa" w:w="1949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负责人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预约与订单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 年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按月归档到冷存储，保留索引摘要。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超过期限匿名化 member_id 和 special_request。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预约服务负责人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支付与退款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按财务合规要求不少于 5 年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只保留必要交易号与金额，隐藏渠道扩展字段。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到期后脱敏渠道交易号。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财务/支付负责人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审计日志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不少于 180 天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不可变追加，按月分区压缩。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仅在法定期限后删除。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平台运维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健康打卡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 年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按猫咪和月份归档。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离店猫咪归档后仅保留统计摘要。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门店运营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隐私授权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账号注销后 180 天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授权历史独立保留，便于追溯。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注销完成后匿名化 member_id。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会员服务负责人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营销偏好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授权撤回后立即停止使用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不进入运营宽表，只发布脱敏事件。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撤回后 24 小时内删除可识别标签。</w:t>
            </w:r>
          </w:p>
        </w:tc>
        <w:tc>
          <w:tcPr>
            <w:tcW w:type="dxa" w:w="19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会员/运营负责人</w:t>
            </w:r>
          </w:p>
        </w:tc>
      </w:tr>
    </w:tbl>
    <w:p>
      <w:pPr>
        <w:spacing w:line="269" w:lineRule="auto" w:after="60"/>
      </w:pP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跨境数据合规标注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字段/数据</w:t>
            </w:r>
          </w:p>
        </w:tc>
        <w:tc>
          <w:tcPr>
            <w:tcW w:type="dxa" w:w="1624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分类</w:t>
            </w:r>
          </w:p>
        </w:tc>
        <w:tc>
          <w:tcPr>
            <w:tcW w:type="dxa" w:w="1624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是否跨境</w:t>
            </w:r>
          </w:p>
        </w:tc>
        <w:tc>
          <w:tcPr>
            <w:tcW w:type="dxa" w:w="1624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处理原则</w:t>
            </w:r>
          </w:p>
        </w:tc>
        <w:tc>
          <w:tcPr>
            <w:tcW w:type="dxa" w:w="1624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脱敏方式</w:t>
            </w:r>
          </w:p>
        </w:tc>
        <w:tc>
          <w:tcPr>
            <w:tcW w:type="dxa" w:w="1624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备注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phone_hash / phone_masked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个人信息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仅用于登录、通知和身份识别。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哈希存储，页面只显示掩码。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禁止导出明文。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nickname / birthday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个人信息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用于会员资料展示和权益计算。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运营视图隐藏生日。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用户可修改。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preference_tags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个人信息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条件允许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推荐服务只接收脱敏偏好标签。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移除 member_id，使用临时 subjectId。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[GDPR] 需显式授权。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special_request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敏感个人信息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仅用于门店履约，例如过敏、儿童同行。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列表页截断，详情页按角色查看。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访问写审计日志。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payment channel_trade_no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交易数据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用于支付对账和退款追踪。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非财务角色不可见。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幂等键不可复用。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audit_log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审计数据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只追加不修改，用于追责。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不对普通业务角色开放。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保留 traceId。</w:t>
            </w:r>
          </w:p>
        </w:tc>
      </w:tr>
    </w:tbl>
    <w:p>
      <w:pPr>
        <w:spacing w:line="269" w:lineRule="auto" w:after="6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