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276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 w:line="276" w:lineRule="auto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 w:line="276" w:lineRule="auto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质量属性场景与效用树</w:t>
      </w:r>
    </w:p>
    <w:p>
      <w:pPr>
        <w:spacing w:after="80" w:line="276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80" w:line="276" w:lineRule="auto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>
      <w:pPr>
        <w:spacing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2B2B2B"/>
                <w:sz w:val="21"/>
              </w:rPr>
              <w:t>D2-1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质量属性场景与效用树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2026-05-14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Microsoft YaHei" w:hAnsi="Microsoft YaHei" w:eastAsia="Microsoft YaHei"/>
          <w:sz w:val="21"/>
        </w:rPr>
        <w:br w:type="page"/>
      </w: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使用说明</w:t>
      </w:r>
    </w:p>
    <w:p>
      <w:pPr>
        <w:spacing w:after="80" w:before="0" w:line="27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把"系统应该多快、多稳、多安全"翻译成可量化的场景。每条 QAS 都要能写成一个测试用例，否则视为不合格。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>
      <w:pPr>
        <w:spacing w:after="80" w:line="276" w:lineRule="auto"/>
      </w:pP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1  非功能需求回顾（来自实验一）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实验一需求基线中提炼出的关键非功能需求如下：</w:t>
              <w:br/>
              <w:t>1. NFR-001 核心预约链路月度 SLA ≥ 99.9%，预约、支付、通知三个环节均需可观测。</w:t>
              <w:br/>
              <w:t>2. NFR-002 预约创建接口在常态负载下 P95 ≤ 350ms，高峰期允许降级但必须返回明确状态。</w:t>
              <w:br/>
              <w:t>3. NFR-003 支付失败、库存锁超时、通知失败必须支持自动补偿与人工接管。</w:t>
              <w:br/>
              <w:t>4. NFR-004 会员手机号、偏好、备注等个人信息最小化采集、脱敏展示、加密传输。</w:t>
              <w:br/>
              <w:t>5. NFR-005 新门店上线不得中断现有门店预约，门店配置应支持灰度发布与回滚。</w:t>
              <w:br/>
              <w:t>6. NFR-006 关键业务指标、异常告警与日志链路必须可追踪到 traceId。</w:t>
            </w:r>
          </w:p>
        </w:tc>
      </w:tr>
    </w:tbl>
    <w:p>
      <w:pPr>
        <w:spacing w:after="80" w:line="276" w:lineRule="auto"/>
      </w:pP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2  效用树构建</w:t>
      </w:r>
    </w:p>
    <w:p>
      <w:pPr>
        <w:keepNext/>
        <w:spacing w:before="200" w:after="80" w:line="276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sz w:val="30"/>
        </w:rPr>
        <w:t>2.1  根：业务效用最大化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根节点定义为“在高峰预约、门店扩张和隐私合规约束下最大化业务效用”。本实验将业务效用拆成性能、可用性、安全性、可维护性、可观测性五个一级质量属性。每个叶子节点都要求能映射到一个可测试场景或验收指标，避免只写“快、稳、安全”等不可评审表述。</w:t>
            </w:r>
          </w:p>
        </w:tc>
      </w:tr>
    </w:tbl>
    <w:p>
      <w:pPr>
        <w:spacing w:after="80" w:line="276" w:lineRule="auto"/>
      </w:pPr>
    </w:p>
    <w:p>
      <w:pPr>
        <w:keepNext/>
        <w:spacing w:before="200" w:after="80" w:line="276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sz w:val="30"/>
        </w:rPr>
        <w:t>2.2  二级维度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二级维度采用“质量属性 → 场景 → 响应度量”的组织方式：性能关注预约提交、并发响应和页面加载；可用性关注支付失败重试、服务故障恢复与 SLA；安全性关注身份认证、脱敏展示与支付信息加密；可维护性关注模块职责、接口规范和文档；可观测性关注业务指标、异常告警和链路日志。</w:t>
            </w:r>
          </w:p>
          <w:p>
            <w:pPr>
              <w:spacing w:before="0"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  <w:p>
            <w:pPr>
              <w:spacing w:line="269" w:lineRule="auto" w:after="4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9" w:lineRule="auto" w:after="4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80" w:line="276" w:lineRule="auto"/>
      </w:pPr>
    </w:p>
    <w:p>
      <w:pPr>
        <w:keepNext/>
        <w:spacing w:before="200" w:after="80" w:line="276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sz w:val="30"/>
        </w:rPr>
        <w:t>2.3  叶节点（H/M/L 评级）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效用树文字版：</w:t>
              <w:br/>
              <w:t>业务效用最大化</w:t>
              <w:br/>
              <w:t>├─ 性能：预约提交 P95≤350ms(H,H)；1000 并发响应正常(H,H)；页面加载≤2s(M,M)</w:t>
              <w:br/>
              <w:t>├─ 可用性：支付失败可重试(H,H)；服务可用性≥99.9%(H,H)；系统故障自动恢复(M,H)</w:t>
              <w:br/>
              <w:t>├─ 安全性：手机号脱敏存储与展示(H,H)；接口调用需身份认证(H,H)；支付信息加密传输(H,H)</w:t>
              <w:br/>
              <w:t>├─ 可维护性：模块职责清晰低耦合(M,H)；接口规范统一易扩展(M,M)；文档齐全便于维护(M,M)</w:t>
              <w:br/>
              <w:t>└─ 可观测性：关键业务指标可监控(H,M)；异常告警及时准确(H,H)；日志链路可追踪(H,H)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Top-10 QAS 从实验一需求基线、CTO 三个追问和实验二任务书抽取。排序原则为：先保证核心预约交易链路，再保证支付一致性、隐私合规和门店扩展，最后覆盖运营分析与维护效率。每条 QAS 均包含刺激源、刺激、制品、环境、响应和响应度量，可直接转化为后续测试用例。</w:t>
            </w:r>
          </w:p>
        </w:tc>
      </w:tr>
    </w:tbl>
    <w:p>
      <w:pPr>
        <w:spacing w:after="80" w:line="276" w:lineRule="auto"/>
      </w:pP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3  Top-10 QAS 详表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794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07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质量属性</w:t>
            </w:r>
          </w:p>
        </w:tc>
        <w:tc>
          <w:tcPr>
            <w:tcW w:type="dxa" w:w="1701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场景描述</w:t>
            </w:r>
          </w:p>
        </w:tc>
        <w:tc>
          <w:tcPr>
            <w:tcW w:type="dxa" w:w="907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刺激源</w:t>
            </w:r>
          </w:p>
        </w:tc>
        <w:tc>
          <w:tcPr>
            <w:tcW w:type="dxa" w:w="1134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刺激</w:t>
            </w:r>
          </w:p>
        </w:tc>
        <w:tc>
          <w:tcPr>
            <w:tcW w:type="dxa" w:w="907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制品</w:t>
            </w:r>
          </w:p>
        </w:tc>
        <w:tc>
          <w:tcPr>
            <w:tcW w:type="dxa" w:w="907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1361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响应</w:t>
            </w:r>
          </w:p>
        </w:tc>
        <w:tc>
          <w:tcPr>
            <w:tcW w:type="dxa" w:w="1134"/>
            <w:shd w:val="clear" w:color="auto" w:fill="EAF6EF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响应度量</w:t>
            </w:r>
          </w:p>
        </w:tc>
      </w:tr>
      <w:tr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QAS-01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性能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节假日午晚餐高峰创建预约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顾客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POST /reservations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预约服务/API网关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1000 并发、38 家门店在线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返回预约号、候补建议或明确失败原因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P95≤350ms，错误率≤0.5%</w:t>
            </w:r>
          </w:p>
        </w:tc>
      </w:tr>
      <w:tr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QAS-02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可用性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核心预约链路持续可用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基础设施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单实例故障或滚动发布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预约/会员/门店服务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生产环境、营业中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自动摘除故障实例并保持可用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月 SLA≥99.9%，RTO≤5min</w:t>
            </w:r>
          </w:p>
        </w:tc>
      </w:tr>
      <w:tr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QAS-03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可演进性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新增门店上线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运营人员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发布门店、桌位、营业规则配置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门店/预约/菜单服务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营业中、无需停机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新门店可被搜索、预约和核销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停机时间=0，配置回滚≤10min</w:t>
            </w:r>
          </w:p>
        </w:tc>
      </w:tr>
      <w:tr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QAS-04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一致性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支付成功后预约状态同步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支付平台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支付回调成功或重复回调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订单支付/预约服务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网络抖动、回调重试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订单与预约最终一致且可对账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差异率≤0.1%，补偿≤10min</w:t>
            </w:r>
          </w:p>
        </w:tc>
      </w:tr>
      <w:tr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QAS-05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安全性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访问会员资料与偏好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顾客/攻击者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越权查询或篡改请求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会员服务/API网关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生产环境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拒绝越权并写入审计日志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越权成功=0，审计覆盖=100%</w:t>
            </w:r>
          </w:p>
        </w:tc>
      </w:tr>
      <w:tr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QAS-06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隐私合规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会员撤回营销授权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会员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关闭营销或推荐授权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会员/通知/推荐服务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任意客户端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立即停止非必要推送并同步事件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1min 内生效，保留撤回记录</w:t>
            </w:r>
          </w:p>
        </w:tc>
      </w:tr>
      <w:tr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QAS-07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可靠性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通知服务短暂不可用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短信/站内信通道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发送失败或限流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通知服务/消息队列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支付成功后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进入重试队列并可人工补发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重试成功率≥99%，死信可追踪</w:t>
            </w:r>
          </w:p>
        </w:tc>
      </w:tr>
      <w:tr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QAS-08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可维护性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修改预约取消规则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开发者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规则变更上线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预约策略组件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迭代发布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仅修改策略模块和契约测试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影响模块≤2 个，回归用例全通过</w:t>
            </w:r>
          </w:p>
        </w:tc>
      </w:tr>
      <w:tr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QAS-09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可观测性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预约失败率异常升高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监控系统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失败率超过阈值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网关/预约/支付/通知链路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生产高峰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触发告警并定位 traceId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5min 内告警，链路完整率≥95%</w:t>
            </w:r>
          </w:p>
        </w:tc>
      </w:tr>
      <w:tr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QAS-10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容量弹性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运营活动带来流量突增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市场活动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流量升至平时 3 倍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网关/预约/缓存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活动期间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限流、缓存和扩容保护核心链路</w:t>
            </w:r>
          </w:p>
        </w:tc>
        <w:tc>
          <w:tcPr>
            <w:tcW w:type="dxa" w:w="1083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核心链路可用，非核心可降级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架构关注点清单：</w:t>
              <w:br/>
              <w:t>1. 预约写入热点：需用容量锁、幂等键和候补策略避免同一桌位超卖。</w:t>
              <w:br/>
              <w:t>2. 支付回调幂等：订单、预约、押金状态必须可补偿、可对账。</w:t>
              <w:br/>
              <w:t>3. 会员隐私边界：手机号、偏好、备注等只在会员上下文拥有，其他服务通过脱敏视图访问。</w:t>
              <w:br/>
              <w:t>4. 新门店上线：门店规则、桌位与菜单配置需要灰度、校验与快速回滚。</w:t>
              <w:br/>
              <w:t>5. 可观测性：网关、服务、消息队列和数据库需要统一 traceId 与指标口径。</w:t>
            </w:r>
          </w:p>
        </w:tc>
      </w:tr>
    </w:tbl>
    <w:p>
      <w:pPr>
        <w:spacing w:after="80" w:line="276" w:lineRule="auto"/>
      </w:pPr>
    </w:p>
    <w:p>
      <w:pPr>
        <w:keepNext/>
        <w:spacing w:before="280" w:after="80" w:line="276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4  优先级裁决与签字栏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line="269" w:lineRule="auto" w:after="40"/>
            </w:pPr>
            <w:r>
              <w:rPr>
                <w:rFonts w:ascii="Microsoft YaHei" w:hAnsi="Microsoft YaHei" w:eastAsia="Microsoft YaHei"/>
                <w:sz w:val="18"/>
              </w:rPr>
              <w:t>优先级裁决：本次架构设计优先满足 QAS-01、QAS-02、QAS-04、QAS-05、QAS-09。低优先级场景允许通过运营流程或人工补偿短期兜底，但必须在 ADR 中记录取舍理由。</w:t>
              <w:br/>
              <w:br/>
              <w:t>评审参与人：戴正宇（架构设计/记录）、AI 模拟 CTO（反向质询）、AI 模拟测试负责人（可测试性检查）。</w:t>
              <w:br/>
              <w:t>评审结论：通过。后续 D2-3 使用上述 QAS 作为 ATAM 场景输入。</w:t>
            </w:r>
          </w:p>
        </w:tc>
      </w:tr>
    </w:tbl>
    <w:p>
      <w:pPr>
        <w:spacing w:after="80" w:line="276" w:lineRule="auto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