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27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事件风暴与上下文映射图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2B2B2B"/>
                <w:sz w:val="21"/>
              </w:rPr>
              <w:t>D2-2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事件风暴与上下文映射图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Microsoft YaHei" w:hAnsi="Microsoft YaHei" w:eastAsia="Microsoft YaHei"/>
          <w:sz w:val="21"/>
        </w:rPr>
        <w:br w:type="page"/>
      </w: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使用说明</w:t>
      </w:r>
    </w:p>
    <w:p>
      <w:pPr>
        <w:spacing w:after="80" w:before="0" w:line="27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以事件风暴方法识别领域事件，进而划分限界上下文。本文档是后续 ADR 与 C4 图的依据。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1  事件风暴会议纪要</w:t>
      </w:r>
    </w:p>
    <w:p>
      <w:pPr>
        <w:keepNext/>
        <w:spacing w:before="200" w:after="80" w:line="276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参与者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参与者与职责：戴正宇负责主持、记录与边界裁决；AI 模拟顾客代表提供预约、会员、支付体验场景；AI 模拟店员提供签到核销、异常处理、门店调度场景；AI 模拟店长/运营提供门店扩张、经营报表、活动配置场景；AI 模拟合规负责人检查隐私授权、数据最小化和跨上下文访问边界。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00" w:after="80" w:line="276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方法说明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方法说明：先用 Big Picture Event Storming 识别“已经发生了什么”，得到业务事件清单；再进入 Process Modeling，将事件串成预约、支付、签到、猫咪健康打卡、运营分析等流程；最后进入 Software Modeling，按生命周期、数据所有权、一致性模型和扩展压力划分限界上下文。拆分过程允许回溯：如果上下文耦合过高，需要回到事件和命令层重新调整边界。</w:t>
            </w:r>
          </w:p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  <w:p>
            <w:pPr>
              <w:spacing w:line="269" w:lineRule="auto" w:after="4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349240" cy="24368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2436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9" w:lineRule="auto" w:after="4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事件风暴结论：NekoCafé 的核心域是“预约与门店履约”，因为它直接承载顾客到店体验、桌位容量和营收转化。会员、门店、订单支付、猫咪档案、通知、运营分析构成支撑域或通用域。拆分后的服务边界以业务能力为主，而不是按数据库表或页面菜单拆分；这样可以降低预约、支付、通知之间的发布耦合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2  领域事件列表（≥ 30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领域事件列表（按业务时间线）：</w:t>
              <w:br/>
              <w:t>1. 顾客已注册</w:t>
              <w:br/>
              <w:t>2. 会员资料已完善</w:t>
              <w:br/>
              <w:t>3. 会员偏好已更新</w:t>
              <w:br/>
              <w:t>4. 隐私授权已变更</w:t>
              <w:br/>
              <w:t>5. 门店已发布</w:t>
              <w:br/>
              <w:t>6. 桌位已配置</w:t>
              <w:br/>
              <w:t>7. 营业时间已生效</w:t>
              <w:br/>
              <w:t>8. 猫咪档案已创建</w:t>
              <w:br/>
              <w:t>9. 猫咪健康已打卡</w:t>
              <w:br/>
              <w:t>10. 猫咪互动状态已更新</w:t>
              <w:br/>
              <w:t>11. 顾客已浏览门店</w:t>
              <w:br/>
              <w:t>12. 可预约时段已查询</w:t>
              <w:br/>
              <w:t>13. 桌位容量已锁定</w:t>
              <w:br/>
              <w:t>14. 预约已提交</w:t>
              <w:br/>
              <w:t>15. 押金支付单已创建</w:t>
              <w:br/>
              <w:t>16. 支付已成功</w:t>
              <w:br/>
              <w:t>17. 预约已确认</w:t>
              <w:br/>
              <w:t>18. 预约通知已发送</w:t>
              <w:br/>
              <w:t>19. 预约已改期</w:t>
              <w:br/>
              <w:t>20. 预约已取消</w:t>
              <w:br/>
              <w:t>21. 押金已退款</w:t>
              <w:br/>
              <w:t>22. 候补已加入</w:t>
              <w:br/>
              <w:t>23. 候补已转正</w:t>
              <w:br/>
              <w:t>24. 顾客已到店</w:t>
              <w:br/>
              <w:t>25. 预约已核销</w:t>
              <w:br/>
              <w:t>26. 订单已创建</w:t>
              <w:br/>
              <w:t>27. 菜品已加购</w:t>
              <w:br/>
              <w:t>28. 订单已支付</w:t>
              <w:br/>
              <w:t>29. 服务已完成</w:t>
              <w:br/>
              <w:t>30. 顾客已评价</w:t>
              <w:br/>
              <w:t>31. 优惠券已发放</w:t>
              <w:br/>
              <w:t>32. 积分已累计</w:t>
              <w:br/>
              <w:t>33. 营销活动已创建</w:t>
              <w:br/>
              <w:t>34. 运营指标已刷新</w:t>
              <w:br/>
              <w:t>35. 异常工单已生成</w:t>
              <w:br/>
              <w:t>36. 审计日志已记录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3  命令、聚合、策略、读模型识别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命令：注册会员、更新偏好、变更隐私授权、发布门店、配置桌位、提交预约、改期预约、取消预约、支付押金、到店核销、创建订单、提交评价、创建营销活动。</w:t>
              <w:br/>
              <w:t>聚合：Member、PrivacyConsent、Store、TableSlot、Reservation、CapacityLock、Waitlist、Order、Payment、CatProfile、HealthCheck、Campaign、Notification。</w:t>
              <w:br/>
              <w:t>策略：容量锁定策略、候补转正规则、取消退款规则、猫咪可互动策略、营销授权过滤策略、异常通知重试策略。</w:t>
              <w:br/>
              <w:t>读模型：门店可预约列表、预约队列、店员工作台、会员权益摘要、运营看板、消息投递状态。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4  限界上下文清单（≥ 6 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上下文名称</w:t>
            </w:r>
          </w:p>
        </w:tc>
        <w:tc>
          <w:tcPr>
            <w:tcW w:type="dxa" w:w="2835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主要聚合</w:t>
            </w:r>
          </w:p>
        </w:tc>
        <w:tc>
          <w:tcPr>
            <w:tcW w:type="dxa" w:w="2835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BC-1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会员上下文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Member / PrivacyConsent / Preference / Coupon / PointRecord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会员资料、授权、积分与权益；拥有 PII 主数据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BC-2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门店运营上下文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Store / TableSlot / BusinessHours / Staff / MenuItem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门店、桌位、营业时间、员工与菜单配置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BC-3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预约上下文（核心域）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Reservation / CapacityLock / Waitlist / ReservationPolicy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预约生命周期、容量锁、候补和履约规则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BC-4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订单支付上下文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Order / Payment / Refund / OrderItem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支付、退款、订单与对账，适配第三方支付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BC-5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猫咪档案上下文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CatProfile / HealthCheck / InteractionRule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猫咪状态、健康打卡和可互动规则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BC-6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推荐上下文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Recommendation / FeatureSnapshot / Result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基于脱敏特征生成门店、猫咪和活动推荐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BC-7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通知上下文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MessageTemplate / Delivery / RetryTask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短信、站内信、邮件等多渠道投递与追踪</w:t>
            </w:r>
          </w:p>
        </w:tc>
      </w:tr>
      <w:tr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BC-8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运营分析上下文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MetricSnapshot / Campaign / AuditLog</w:t>
            </w:r>
          </w:p>
        </w:tc>
        <w:tc>
          <w:tcPr>
            <w:tcW w:type="dxa" w:w="2436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消费领域事件，形成报表、指标和审计视图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上下文划分依据：</w:t>
              <w:br/>
              <w:t>1. 独立生命周期：预约、支付、会员授权、猫咪健康记录的状态变化节奏不同，应分开建模。</w:t>
              <w:br/>
              <w:t>2. 数据所有权：会员 PII 只由会员上下文拥有；预约上下文只保存业务所需的 memberId 与脱敏摘要。</w:t>
              <w:br/>
              <w:t>3. 一致性模型：预约容量锁要求强约束；支付、通知、运营分析允许通过事件达到最终一致。</w:t>
              <w:br/>
              <w:t>4. 扩展压力：预约服务和网关在高峰期需要独立扩容，运营报表则更适合异步读模型。</w:t>
              <w:br/>
              <w:t>5. 团队协作：每个上下文都能形成清晰的代码边界、接口契约和 ADR 决策边界。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5  上下文映射图（Context Map）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上下文映射关系：会员上下文与预约上下文采用 Customer/Supplier，共享会员身份和状态；门店运营上下文向预约上下文提供桌位、时段和营业规则；预约上下文通过 Customer/Supplier 依赖支付上下文完成押金支付；支付上下文通过通知上下文发布支付结果通知；会员、预约、支付、门店等上下文通过 Published Language 发布领域事件，运营分析上下文消费事件形成 CQRS 读模型；外部支付平台由支付上下文通过 ACL 隔离。</w:t>
            </w:r>
          </w:p>
          <w:p>
            <w:pPr>
              <w:spacing w:line="269" w:lineRule="auto" w:after="4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349240" cy="35067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2_context_ma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50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9" w:lineRule="auto" w:after="4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6  关键聚合的不变式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关键聚合不变式：</w:t>
              <w:br/>
              <w:t>1. Reservation 在同一门店、同一桌位、同一时间段不能重复确认；CapacityLock 必须有 TTL，超时自动释放。</w:t>
              <w:br/>
              <w:t>2. Payment 回调必须用幂等键处理，重复回调不得重复改变预约状态或重复退款。</w:t>
              <w:br/>
              <w:t>3. PrivacyConsent 撤回后，推荐与营销通知不得继续使用对应特征；授权变更必须发布 ConsentChanged 事件。</w:t>
              <w:br/>
              <w:t>4. CatProfile 的健康异常优先级高于推荐结果，异常期间不得被推荐为互动对象。</w:t>
              <w:br/>
              <w:t>5. AuditLog 只追加不修改，关键变更必须记录操作者、对象、动作、时间和 traceId。</w:t>
            </w:r>
          </w:p>
        </w:tc>
      </w:tr>
    </w:tbl>
    <w:p>
      <w:pPr>
        <w:spacing w:after="80" w:line="276" w:lineRule="auto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