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D2-5_OpenAPI契约文档  README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777777"/>
          <w:sz w:val="28"/>
        </w:rPr>
        <w:t>Folder Package README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line="269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/>
      </w:pPr>
      <w:r>
        <w:rPr>
          <w:rFonts w:ascii="Microsoft YaHei" w:hAnsi="Microsoft YaHei" w:eastAsia="Microsoft YaHei"/>
          <w:sz w:val="21"/>
        </w:rPr>
        <w:br w:type="page"/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60" w:before="0" w:line="269" w:lineRule="auto"/>
        <w:ind w:firstLine="340"/>
        <w:jc w:val="left"/>
      </w:pPr>
      <w:r>
        <w:rPr>
          <w:rFonts w:ascii="Microsoft YaHei" w:hAnsi="Microsoft YaHei" w:eastAsia="Microsoft YaHei"/>
          <w:b/>
          <w:sz w:val="21"/>
        </w:rPr>
        <w:t>存放 OpenAPI 3.0 契约文档、公共组件、典型 JSON 示例与契约预览截图。契约以 REST + JSON 为主，路径按服务拆分，并统一使用 JWT、traceId、幂等键和标准错误模型。</w:t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文件/目录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契约范围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关键内容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验收点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reservation-service.yaml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预约上下文核心域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8+ 个端点：可用性查询、预约创建/查询/改期/取消/核销、爽约、候补队列；包含幂等键、X-Trace-Id、409 冲突响应。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OpenAPI 3.0.3；写接口具备 Idempotency-Key；错误响应统一引用 common。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member-service.yaml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会员上下文核心域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8+ 个端点：个人资料、会员摘要、偏好、隐私授权、优惠券、积分、删除/导出请求；默认返回脱敏字段。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覆盖 PII 脱敏、隐私授权版本、删除请求受理。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common/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公共模型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error-response.yaml 定义 ErrorResponse 与 4xx/5xx 响应；pagination.yaml 定义 page/size/sort 与 PageMeta。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两个服务复用同一错误码结构与分页结构。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examples/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请求与响应样例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包含创建预约、创建响应、可用性响应、会员资料、授权更新、409 错误样例。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可直接用于 Swagger UI / Postman / 接口评审。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screenshots/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契约预览截图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提供预约服务与会员服务的端点总览图，说明服务边界、核心 Schema 和质量约束。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用于答辩时快速解释契约范围。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sz w:val="21"/>
        </w:rPr>
        <w:t>每个 YAML 覆盖：服务概述、鉴权方式、版本策略、限流约束、公共错误码、核心 Schema 与可复用示例。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