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color w:val="177A3E"/>
        </w:rPr>
        <w:t>D1-4 UML 导出说明</w:t>
      </w:r>
    </w:p>
    <w:p>
      <w:pPr>
        <w:spacing w:after="100"/>
      </w:pPr>
      <w:r>
        <w:rPr>
          <w:rFonts w:ascii="Microsoft YaHei" w:hAnsi="Microsoft YaHei" w:eastAsia="Microsoft YaHei"/>
        </w:rPr>
        <w:t>本说明汇总 exports 目录下的 PNG/SVG 导出文件、源文件路径与追溯范围，用于课程提交前复核。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247"/>
            <w:shd w:fill="EAF6EF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73B2F"/>
                <w:sz w:val="19"/>
              </w:rPr>
              <w:t>图编号</w:t>
            </w:r>
          </w:p>
        </w:tc>
        <w:tc>
          <w:tcPr>
            <w:tcW w:type="dxa" w:w="1814"/>
            <w:shd w:fill="EAF6EF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73B2F"/>
                <w:sz w:val="19"/>
              </w:rPr>
              <w:t>图题</w:t>
            </w:r>
          </w:p>
        </w:tc>
        <w:tc>
          <w:tcPr>
            <w:tcW w:type="dxa" w:w="1928"/>
            <w:shd w:fill="EAF6EF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73B2F"/>
                <w:sz w:val="19"/>
              </w:rPr>
              <w:t>SVG</w:t>
            </w:r>
          </w:p>
        </w:tc>
        <w:tc>
          <w:tcPr>
            <w:tcW w:type="dxa" w:w="1928"/>
            <w:shd w:fill="EAF6EF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73B2F"/>
                <w:sz w:val="19"/>
              </w:rPr>
              <w:t>PNG</w:t>
            </w:r>
          </w:p>
        </w:tc>
        <w:tc>
          <w:tcPr>
            <w:tcW w:type="dxa" w:w="3288"/>
            <w:shd w:fill="EAF6EF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73B2F"/>
                <w:sz w:val="19"/>
              </w:rPr>
              <w:t>需求覆盖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UC-MAIN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主用例图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主用例图.svg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主用例图.png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FR-001 至 FR-040；NFR-005、NFR-013、NFR-015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UC-MEMBER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会员子用例图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子用例_会员.svg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子用例_会员.png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FR-003 至 FR-005、FR-013 至 FR-015、FR-028、FR-034、NFR-011、NFR-015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UC-RESERVE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预约子用例图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子用例_预约.svg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子用例_预约.png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FR-001、FR-002、FR-006 至 FR-009、FR-014、FR-036、FR-039、NFR-002、NFR-006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ACT-RESERVE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桌位预约活动图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桌位预约活动图.svg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桌位预约活动图.png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FR-006 至 FR-009、FR-014、FR-036、FR-039、NFR-002、NFR-006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ACT-HEALTH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猫咪健康打卡活动图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猫咪健康打卡活动图.svg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猫咪健康打卡活动图.png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FR-020 至 FR-022、FR-035、FR-036、NFR-012、NFR-016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CLS-DOMAIN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领域类图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领域类图.svg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领域类图.png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FR-001 至 FR-040；NFR-005、NFR-006、NFR-013、NFR-015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SEQ-ORDER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下单顺序图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下单顺序图.svg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下单顺序图.png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FR-010 至 FR-012、FR-018、FR-025、NFR-003、NFR-006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SEQ-CROSS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跨服务调用顺序图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跨服务调用顺序图.svg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跨服务调用顺序图.png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FR-006 至 FR-009、FR-014、FR-038、FR-039、NFR-006、NFR-013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STA-ORDER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订单/预约状态机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订单状态机.svg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订单状态机.png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FR-006、FR-007、FR-012、FR-014、FR-018、FR-039、NFR-006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color w:val="177A3E"/>
        </w:rPr>
        <w:t>导出复核结论</w:t>
      </w:r>
    </w:p>
    <w:p>
      <w:pPr>
        <w:spacing w:after="100"/>
      </w:pPr>
      <w:r>
        <w:rPr>
          <w:rFonts w:ascii="Microsoft YaHei" w:hAnsi="Microsoft YaHei" w:eastAsia="Microsoft YaHei"/>
        </w:rPr>
        <w:t>导出图命名与源文件一一对应，便于后续按图编号定位。</w:t>
      </w:r>
    </w:p>
    <w:p>
      <w:pPr>
        <w:spacing w:after="100"/>
      </w:pPr>
      <w:r>
        <w:rPr>
          <w:rFonts w:ascii="Microsoft YaHei" w:hAnsi="Microsoft YaHei" w:eastAsia="Microsoft YaHei"/>
        </w:rPr>
        <w:t>主图、子图、活动图、顺序图、类图和状态图的覆盖范围已同步到 D1-5 RTM。</w:t>
      </w:r>
    </w:p>
    <w:p>
      <w:pPr>
        <w:spacing w:after="100"/>
      </w:pPr>
      <w:r>
        <w:rPr>
          <w:rFonts w:ascii="Microsoft YaHei" w:hAnsi="Microsoft YaHei" w:eastAsia="Microsoft YaHei"/>
        </w:rPr>
        <w:t>本次导出优先使用清晰的 PNG 供 Word/PPT 阅读，SVG 保留为可复核的矢量版本。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